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A7" w:rsidRDefault="001973A7">
      <w:pPr>
        <w:pStyle w:val="4"/>
        <w:rPr>
          <w:rFonts w:ascii="Times New Roman" w:hAnsi="Times New Roman" w:cs="Times New Roman"/>
        </w:rPr>
      </w:pPr>
    </w:p>
    <w:p w:rsidR="001973A7" w:rsidRDefault="001973A7">
      <w:pPr>
        <w:pStyle w:val="4"/>
        <w:rPr>
          <w:rFonts w:ascii="Times New Roman" w:hAnsi="Times New Roman" w:cs="Times New Roman"/>
        </w:rPr>
      </w:pPr>
    </w:p>
    <w:p w:rsidR="004E5780" w:rsidRPr="001973A7" w:rsidRDefault="004E5780">
      <w:pPr>
        <w:pStyle w:val="4"/>
        <w:rPr>
          <w:rFonts w:ascii="Times New Roman" w:hAnsi="Times New Roman" w:cs="Times New Roman"/>
        </w:rPr>
      </w:pPr>
      <w:r w:rsidRPr="001973A7">
        <w:rPr>
          <w:rFonts w:ascii="Times New Roman" w:hAnsi="Times New Roman" w:cs="Times New Roman"/>
        </w:rPr>
        <w:t xml:space="preserve">ИНФОРМАЦИЯ </w:t>
      </w:r>
    </w:p>
    <w:p w:rsidR="001F4E95" w:rsidRPr="001973A7" w:rsidRDefault="004E5780" w:rsidP="001F4E95">
      <w:pPr>
        <w:pStyle w:val="4"/>
        <w:tabs>
          <w:tab w:val="clear" w:pos="3675"/>
          <w:tab w:val="left" w:pos="1695"/>
        </w:tabs>
        <w:rPr>
          <w:rFonts w:ascii="Times New Roman" w:hAnsi="Times New Roman" w:cs="Times New Roman"/>
        </w:rPr>
      </w:pPr>
      <w:r w:rsidRPr="001973A7">
        <w:rPr>
          <w:rFonts w:ascii="Times New Roman" w:hAnsi="Times New Roman" w:cs="Times New Roman"/>
        </w:rPr>
        <w:t>ОБ ОСНОВНЫХ ИТОГАХ КОНТРОЛЬНОГО МЕРОПРИЯТИЯ</w:t>
      </w:r>
    </w:p>
    <w:p w:rsidR="00B70C83" w:rsidRPr="001973A7" w:rsidRDefault="00B70C83" w:rsidP="00B70C83">
      <w:pPr>
        <w:pStyle w:val="3"/>
        <w:spacing w:after="240" w:line="240" w:lineRule="auto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73A7">
        <w:rPr>
          <w:rFonts w:ascii="Times New Roman" w:hAnsi="Times New Roman" w:cs="Times New Roman"/>
          <w:b w:val="0"/>
          <w:sz w:val="24"/>
          <w:szCs w:val="24"/>
        </w:rPr>
        <w:t>«Проверка законности, обоснованности и результативности использования средств городского бюджета, выделенных на уличное освещение в 2014-2016 г.г.»</w:t>
      </w:r>
    </w:p>
    <w:p w:rsidR="00B70C83" w:rsidRPr="001973A7" w:rsidRDefault="00C718E4" w:rsidP="00640C3A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973A7">
        <w:rPr>
          <w:rFonts w:ascii="Times New Roman" w:hAnsi="Times New Roman" w:cs="Times New Roman"/>
          <w:b/>
          <w:sz w:val="24"/>
          <w:szCs w:val="24"/>
        </w:rPr>
        <w:t>Объект проверки</w:t>
      </w:r>
      <w:r w:rsidR="00B70C83" w:rsidRPr="001973A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70C83" w:rsidRPr="001973A7">
        <w:rPr>
          <w:rFonts w:ascii="Times New Roman" w:hAnsi="Times New Roman" w:cs="Times New Roman"/>
          <w:sz w:val="24"/>
          <w:szCs w:val="24"/>
        </w:rPr>
        <w:t xml:space="preserve">Департамент городского хозяйства Администрации города Сарова </w:t>
      </w:r>
      <w:r w:rsidR="00B70C83" w:rsidRPr="001973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(далее - ДГХ). </w:t>
      </w:r>
    </w:p>
    <w:p w:rsidR="00C718E4" w:rsidRPr="001973A7" w:rsidRDefault="00C718E4" w:rsidP="00640C3A">
      <w:pPr>
        <w:pStyle w:val="3"/>
        <w:spacing w:before="0" w:line="240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73A7">
        <w:rPr>
          <w:rFonts w:ascii="Times New Roman" w:hAnsi="Times New Roman" w:cs="Times New Roman"/>
          <w:sz w:val="24"/>
          <w:szCs w:val="24"/>
        </w:rPr>
        <w:t>Проверяемый период</w:t>
      </w:r>
      <w:r w:rsidR="00B70C83" w:rsidRPr="001973A7">
        <w:rPr>
          <w:rFonts w:ascii="Times New Roman" w:hAnsi="Times New Roman" w:cs="Times New Roman"/>
          <w:b w:val="0"/>
          <w:sz w:val="24"/>
          <w:szCs w:val="24"/>
        </w:rPr>
        <w:t xml:space="preserve">: 2014 - </w:t>
      </w:r>
      <w:r w:rsidRPr="001973A7">
        <w:rPr>
          <w:rFonts w:ascii="Times New Roman" w:hAnsi="Times New Roman" w:cs="Times New Roman"/>
          <w:b w:val="0"/>
          <w:bCs w:val="0"/>
          <w:sz w:val="24"/>
          <w:szCs w:val="24"/>
        </w:rPr>
        <w:t>2016 г</w:t>
      </w:r>
      <w:r w:rsidRPr="001973A7">
        <w:rPr>
          <w:rFonts w:ascii="Times New Roman" w:hAnsi="Times New Roman" w:cs="Times New Roman"/>
          <w:b w:val="0"/>
          <w:sz w:val="24"/>
          <w:szCs w:val="24"/>
        </w:rPr>
        <w:t>.</w:t>
      </w:r>
      <w:r w:rsidR="00B70C83" w:rsidRPr="001973A7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C718E4" w:rsidRPr="001973A7" w:rsidRDefault="00C718E4" w:rsidP="00640C3A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3A7">
        <w:rPr>
          <w:rFonts w:ascii="Times New Roman" w:hAnsi="Times New Roman" w:cs="Times New Roman"/>
          <w:b/>
          <w:bCs/>
          <w:sz w:val="24"/>
          <w:szCs w:val="24"/>
        </w:rPr>
        <w:t>Объем проверенных средств</w:t>
      </w:r>
      <w:r w:rsidRPr="001973A7">
        <w:rPr>
          <w:rFonts w:ascii="Times New Roman" w:hAnsi="Times New Roman" w:cs="Times New Roman"/>
          <w:sz w:val="24"/>
          <w:szCs w:val="24"/>
        </w:rPr>
        <w:t xml:space="preserve">: </w:t>
      </w:r>
      <w:r w:rsidR="00B70C83" w:rsidRPr="001973A7">
        <w:rPr>
          <w:rFonts w:ascii="Times New Roman" w:hAnsi="Times New Roman" w:cs="Times New Roman"/>
          <w:color w:val="000000"/>
          <w:sz w:val="24"/>
          <w:szCs w:val="24"/>
        </w:rPr>
        <w:t>101 277,0</w:t>
      </w:r>
      <w:r w:rsidRPr="001973A7">
        <w:rPr>
          <w:rFonts w:ascii="Times New Roman" w:hAnsi="Times New Roman" w:cs="Times New Roman"/>
          <w:color w:val="000000"/>
          <w:sz w:val="24"/>
          <w:szCs w:val="24"/>
        </w:rPr>
        <w:t xml:space="preserve"> тыс. рублей.</w:t>
      </w:r>
    </w:p>
    <w:p w:rsidR="00C718E4" w:rsidRPr="001973A7" w:rsidRDefault="00C718E4" w:rsidP="00640C3A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197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Установлено нарушений и недостатков</w:t>
      </w:r>
      <w:r w:rsidR="00DC66D7" w:rsidRPr="001973A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54E01" w:rsidRPr="001973A7">
        <w:rPr>
          <w:rFonts w:ascii="Times New Roman" w:hAnsi="Times New Roman" w:cs="Times New Roman"/>
          <w:sz w:val="24"/>
          <w:szCs w:val="24"/>
        </w:rPr>
        <w:t>7 482,1</w:t>
      </w:r>
      <w:r w:rsidRPr="001973A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718E4" w:rsidRPr="001973A7" w:rsidRDefault="00C718E4" w:rsidP="00640C3A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73A7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Руководитель контрольного мероприятия</w:t>
      </w:r>
      <w:r w:rsidRPr="001973A7">
        <w:rPr>
          <w:rFonts w:ascii="Times New Roman" w:hAnsi="Times New Roman" w:cs="Times New Roman"/>
          <w:color w:val="000000"/>
          <w:sz w:val="24"/>
          <w:szCs w:val="24"/>
        </w:rPr>
        <w:t>: аудитор КСП Малашенко А.А.</w:t>
      </w:r>
    </w:p>
    <w:p w:rsidR="004F7430" w:rsidRPr="001973A7" w:rsidRDefault="004F7430" w:rsidP="00D41458">
      <w:pPr>
        <w:pStyle w:val="a4"/>
        <w:ind w:firstLine="0"/>
        <w:jc w:val="both"/>
        <w:rPr>
          <w:rFonts w:ascii="Times New Roman" w:hAnsi="Times New Roman" w:cs="Times New Roman"/>
        </w:rPr>
      </w:pPr>
    </w:p>
    <w:p w:rsidR="004E5780" w:rsidRPr="001973A7" w:rsidRDefault="004E5780" w:rsidP="00D41458">
      <w:pPr>
        <w:spacing w:line="240" w:lineRule="auto"/>
        <w:ind w:right="-142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7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Выводы:</w:t>
      </w:r>
    </w:p>
    <w:p w:rsidR="006C065C" w:rsidRPr="001973A7" w:rsidRDefault="006C065C" w:rsidP="001C484F">
      <w:pPr>
        <w:numPr>
          <w:ilvl w:val="3"/>
          <w:numId w:val="8"/>
        </w:numPr>
        <w:tabs>
          <w:tab w:val="num" w:pos="0"/>
          <w:tab w:val="left" w:pos="284"/>
          <w:tab w:val="left" w:pos="851"/>
        </w:tabs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3A7">
        <w:rPr>
          <w:rFonts w:ascii="Times New Roman" w:hAnsi="Times New Roman" w:cs="Times New Roman"/>
          <w:sz w:val="24"/>
          <w:szCs w:val="24"/>
        </w:rPr>
        <w:t>Уличное освещение является частью наружного освещения города. Отдельных нормативно-правовых актов, регламентирующих порядок определения и содержания объектов уличного освещения г. Сарова не разработано.</w:t>
      </w:r>
    </w:p>
    <w:p w:rsidR="00640C3A" w:rsidRPr="001973A7" w:rsidRDefault="00FD252D" w:rsidP="00FD252D">
      <w:pPr>
        <w:numPr>
          <w:ilvl w:val="3"/>
          <w:numId w:val="8"/>
        </w:numPr>
        <w:tabs>
          <w:tab w:val="num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3A7">
        <w:rPr>
          <w:rFonts w:ascii="Times New Roman" w:hAnsi="Times New Roman" w:cs="Times New Roman"/>
          <w:sz w:val="24"/>
          <w:szCs w:val="24"/>
        </w:rPr>
        <w:t xml:space="preserve"> Эксплуатация </w:t>
      </w:r>
      <w:r w:rsidRPr="001973A7">
        <w:rPr>
          <w:rFonts w:ascii="Times New Roman" w:hAnsi="Times New Roman" w:cs="Times New Roman"/>
          <w:color w:val="000000"/>
          <w:sz w:val="24"/>
          <w:szCs w:val="24"/>
        </w:rPr>
        <w:t xml:space="preserve">имеющихся в городе сетей наружного освещения и их </w:t>
      </w:r>
      <w:r w:rsidRPr="001973A7">
        <w:rPr>
          <w:rFonts w:ascii="Times New Roman" w:hAnsi="Times New Roman" w:cs="Times New Roman"/>
          <w:sz w:val="24"/>
          <w:szCs w:val="24"/>
        </w:rPr>
        <w:t xml:space="preserve">энергоснабжение в 2014-2016 годах осуществлялось согласно заключенным ДГХ муниципальным контрактам. </w:t>
      </w:r>
    </w:p>
    <w:p w:rsidR="00640C3A" w:rsidRPr="001973A7" w:rsidRDefault="00640C3A" w:rsidP="00FD252D">
      <w:pPr>
        <w:numPr>
          <w:ilvl w:val="3"/>
          <w:numId w:val="8"/>
        </w:numPr>
        <w:tabs>
          <w:tab w:val="num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3A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259FA" w:rsidRPr="001973A7">
        <w:rPr>
          <w:rFonts w:ascii="Times New Roman" w:hAnsi="Times New Roman" w:cs="Times New Roman"/>
          <w:color w:val="000000"/>
          <w:sz w:val="24"/>
          <w:szCs w:val="24"/>
        </w:rPr>
        <w:t xml:space="preserve"> проверяемом периоде проведена недостаточная работа по оборудованию объектов</w:t>
      </w:r>
      <w:r w:rsidR="00F259FA" w:rsidRPr="001973A7">
        <w:rPr>
          <w:color w:val="000000"/>
          <w:sz w:val="24"/>
          <w:szCs w:val="24"/>
        </w:rPr>
        <w:t xml:space="preserve"> </w:t>
      </w:r>
      <w:r w:rsidR="00F259FA" w:rsidRPr="001973A7">
        <w:rPr>
          <w:rFonts w:ascii="Times New Roman" w:hAnsi="Times New Roman" w:cs="Times New Roman"/>
          <w:color w:val="000000"/>
          <w:sz w:val="24"/>
          <w:szCs w:val="24"/>
        </w:rPr>
        <w:t>наружного освещения приборами учета и сокращению потребления электроэнергии.</w:t>
      </w:r>
    </w:p>
    <w:p w:rsidR="009868B6" w:rsidRPr="001973A7" w:rsidRDefault="00640C3A" w:rsidP="00640C3A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1973A7">
        <w:rPr>
          <w:rFonts w:ascii="Times New Roman" w:hAnsi="Times New Roman" w:cs="Times New Roman"/>
          <w:color w:val="000000"/>
          <w:sz w:val="24"/>
          <w:szCs w:val="24"/>
        </w:rPr>
        <w:t xml:space="preserve">        4.</w:t>
      </w:r>
      <w:r w:rsidRPr="00197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68B6" w:rsidRPr="001973A7">
        <w:rPr>
          <w:rFonts w:ascii="Times New Roman" w:hAnsi="Times New Roman" w:cs="Times New Roman"/>
          <w:sz w:val="24"/>
          <w:szCs w:val="24"/>
        </w:rPr>
        <w:t>Средства городского бюджета, выде</w:t>
      </w:r>
      <w:r w:rsidRPr="001973A7">
        <w:rPr>
          <w:rFonts w:ascii="Times New Roman" w:hAnsi="Times New Roman" w:cs="Times New Roman"/>
          <w:sz w:val="24"/>
          <w:szCs w:val="24"/>
        </w:rPr>
        <w:t xml:space="preserve">ленные ДГХ в 2014-2016 годах на </w:t>
      </w:r>
      <w:r w:rsidR="00107F8C" w:rsidRPr="001973A7">
        <w:rPr>
          <w:rFonts w:ascii="Times New Roman" w:hAnsi="Times New Roman" w:cs="Times New Roman"/>
          <w:sz w:val="24"/>
          <w:szCs w:val="24"/>
        </w:rPr>
        <w:t>наружное освещение</w:t>
      </w:r>
      <w:r w:rsidR="009868B6" w:rsidRPr="001973A7">
        <w:rPr>
          <w:rFonts w:ascii="Times New Roman" w:hAnsi="Times New Roman" w:cs="Times New Roman"/>
          <w:sz w:val="24"/>
          <w:szCs w:val="24"/>
        </w:rPr>
        <w:t xml:space="preserve"> использованы</w:t>
      </w:r>
      <w:proofErr w:type="gramEnd"/>
      <w:r w:rsidR="009868B6" w:rsidRPr="001973A7">
        <w:rPr>
          <w:rFonts w:ascii="Times New Roman" w:hAnsi="Times New Roman" w:cs="Times New Roman"/>
          <w:sz w:val="24"/>
          <w:szCs w:val="24"/>
        </w:rPr>
        <w:t xml:space="preserve"> в соответствии с их целевым назначением, при этом допускались неэффективные расходы.</w:t>
      </w:r>
    </w:p>
    <w:p w:rsidR="00107F8C" w:rsidRPr="001973A7" w:rsidRDefault="00640C3A" w:rsidP="00640C3A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1973A7">
        <w:rPr>
          <w:rFonts w:ascii="Times New Roman" w:hAnsi="Times New Roman" w:cs="Times New Roman"/>
          <w:color w:val="000000"/>
          <w:sz w:val="24"/>
          <w:szCs w:val="24"/>
        </w:rPr>
        <w:t xml:space="preserve">        5. </w:t>
      </w:r>
      <w:r w:rsidR="00107F8C" w:rsidRPr="001973A7">
        <w:rPr>
          <w:rFonts w:ascii="Times New Roman" w:hAnsi="Times New Roman" w:cs="Times New Roman"/>
          <w:sz w:val="24"/>
          <w:szCs w:val="24"/>
        </w:rPr>
        <w:t xml:space="preserve">Муниципальные закупки, произведенные ДГХ в 2014-2016 годах в целях обеспечения наружного освещения города, в целом осуществлены в соответствии с его полномочиями и требованиями Федерального закона от 05.04.2013 г № 44-ФЗ «О контрактной системе в сфере закупок товаров, работ, услуг для обеспечения государственных и муниципальных нужд». </w:t>
      </w:r>
      <w:r w:rsidR="009F6585" w:rsidRPr="001973A7">
        <w:rPr>
          <w:rFonts w:ascii="Times New Roman" w:hAnsi="Times New Roman" w:cs="Times New Roman"/>
          <w:sz w:val="24"/>
          <w:szCs w:val="24"/>
        </w:rPr>
        <w:t>Ежегодно около 90 % затрат на наружное освещение производится без проведения торгов</w:t>
      </w:r>
      <w:r w:rsidRPr="001973A7">
        <w:rPr>
          <w:rFonts w:ascii="Times New Roman" w:hAnsi="Times New Roman" w:cs="Times New Roman"/>
          <w:sz w:val="24"/>
          <w:szCs w:val="24"/>
        </w:rPr>
        <w:t>.</w:t>
      </w:r>
      <w:r w:rsidR="009F6585" w:rsidRPr="001973A7">
        <w:rPr>
          <w:rFonts w:ascii="Times New Roman" w:hAnsi="Times New Roman" w:cs="Times New Roman"/>
          <w:sz w:val="24"/>
          <w:szCs w:val="24"/>
        </w:rPr>
        <w:t xml:space="preserve"> </w:t>
      </w:r>
      <w:r w:rsidR="00107F8C" w:rsidRPr="001973A7">
        <w:rPr>
          <w:rFonts w:ascii="Times New Roman" w:hAnsi="Times New Roman" w:cs="Times New Roman"/>
          <w:sz w:val="24"/>
          <w:szCs w:val="24"/>
        </w:rPr>
        <w:t>Вместе с тем, при обосновании цен муниципальных контрактов и исполнении условий контрактов допускались нарушения и недостатки.</w:t>
      </w:r>
    </w:p>
    <w:p w:rsidR="009868B6" w:rsidRPr="001973A7" w:rsidRDefault="00640C3A" w:rsidP="00640C3A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1973A7">
        <w:rPr>
          <w:rFonts w:ascii="Times New Roman" w:hAnsi="Times New Roman" w:cs="Times New Roman"/>
          <w:sz w:val="24"/>
          <w:szCs w:val="24"/>
        </w:rPr>
        <w:t xml:space="preserve">          6. </w:t>
      </w:r>
      <w:proofErr w:type="gramStart"/>
      <w:r w:rsidR="00107F8C" w:rsidRPr="001973A7">
        <w:rPr>
          <w:rFonts w:ascii="Times New Roman" w:hAnsi="Times New Roman" w:cs="Times New Roman"/>
          <w:sz w:val="24"/>
          <w:szCs w:val="24"/>
        </w:rPr>
        <w:t>Е</w:t>
      </w:r>
      <w:r w:rsidR="009868B6" w:rsidRPr="001973A7">
        <w:rPr>
          <w:rFonts w:ascii="Times New Roman" w:hAnsi="Times New Roman" w:cs="Times New Roman"/>
          <w:sz w:val="24"/>
          <w:szCs w:val="24"/>
        </w:rPr>
        <w:t>жегодные затраты бюджета города на аренду объектов наружного о</w:t>
      </w:r>
      <w:r w:rsidR="009F6585" w:rsidRPr="001973A7">
        <w:rPr>
          <w:rFonts w:ascii="Times New Roman" w:hAnsi="Times New Roman" w:cs="Times New Roman"/>
          <w:sz w:val="24"/>
          <w:szCs w:val="24"/>
        </w:rPr>
        <w:t>свещения составляю</w:t>
      </w:r>
      <w:r w:rsidR="009868B6" w:rsidRPr="001973A7">
        <w:rPr>
          <w:rFonts w:ascii="Times New Roman" w:hAnsi="Times New Roman" w:cs="Times New Roman"/>
          <w:sz w:val="24"/>
          <w:szCs w:val="24"/>
        </w:rPr>
        <w:t>т более 43% всех расходов на наружное освещение, при этом содержание муниципальных объектов наружного освещения обходится городскому бюджету не более 12%, т.е. дешевле: в 2014 году в 3,9 раза; в 2015 году – в 7,4 раза, в 2016 году – в 3,7 раза.</w:t>
      </w:r>
      <w:proofErr w:type="gramEnd"/>
    </w:p>
    <w:p w:rsidR="00F259FA" w:rsidRPr="001973A7" w:rsidRDefault="00640C3A" w:rsidP="00640C3A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3A7">
        <w:rPr>
          <w:rFonts w:ascii="Times New Roman" w:hAnsi="Times New Roman" w:cs="Times New Roman"/>
          <w:sz w:val="24"/>
          <w:szCs w:val="24"/>
        </w:rPr>
        <w:t xml:space="preserve">          7. </w:t>
      </w:r>
      <w:r w:rsidR="006730C2" w:rsidRPr="001973A7">
        <w:rPr>
          <w:rFonts w:ascii="Times New Roman" w:hAnsi="Times New Roman" w:cs="Times New Roman"/>
          <w:color w:val="000000"/>
          <w:sz w:val="24"/>
          <w:szCs w:val="24"/>
        </w:rPr>
        <w:t>Требуется возобновить рассмотрение</w:t>
      </w:r>
      <w:r w:rsidR="00F259FA" w:rsidRPr="001973A7">
        <w:rPr>
          <w:rFonts w:ascii="Times New Roman" w:hAnsi="Times New Roman" w:cs="Times New Roman"/>
          <w:color w:val="000000"/>
          <w:sz w:val="24"/>
          <w:szCs w:val="24"/>
        </w:rPr>
        <w:t xml:space="preserve"> вопроса о передаче арендуемых объектов наружного освещения в муниципальную собственность.</w:t>
      </w:r>
    </w:p>
    <w:p w:rsidR="004E5780" w:rsidRPr="001973A7" w:rsidRDefault="004E5780" w:rsidP="001C484F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3A7">
        <w:rPr>
          <w:rFonts w:ascii="Times New Roman" w:hAnsi="Times New Roman" w:cs="Times New Roman"/>
          <w:b/>
          <w:bCs/>
          <w:sz w:val="24"/>
          <w:szCs w:val="24"/>
        </w:rPr>
        <w:t>Основные нарушения:</w:t>
      </w:r>
    </w:p>
    <w:p w:rsidR="00F259FA" w:rsidRPr="001973A7" w:rsidRDefault="00640C3A" w:rsidP="001C484F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3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59FA" w:rsidRPr="001973A7">
        <w:rPr>
          <w:rFonts w:ascii="Times New Roman" w:hAnsi="Times New Roman" w:cs="Times New Roman"/>
          <w:color w:val="000000"/>
          <w:sz w:val="24"/>
          <w:szCs w:val="24"/>
        </w:rPr>
        <w:t xml:space="preserve">Из 166 объектов наружного освещения учтенных в реестре муниципального имущества </w:t>
      </w:r>
      <w:r w:rsidR="0066025C" w:rsidRPr="001973A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259FA" w:rsidRPr="001973A7">
        <w:rPr>
          <w:rFonts w:ascii="Times New Roman" w:hAnsi="Times New Roman" w:cs="Times New Roman"/>
          <w:color w:val="000000"/>
          <w:sz w:val="24"/>
          <w:szCs w:val="24"/>
        </w:rPr>
        <w:t>, или 6% не имеют оформленных в установленном порядке технических паспортов.</w:t>
      </w:r>
    </w:p>
    <w:p w:rsidR="0066025C" w:rsidRPr="001973A7" w:rsidRDefault="00640C3A" w:rsidP="001C484F">
      <w:pPr>
        <w:pStyle w:val="ad"/>
        <w:numPr>
          <w:ilvl w:val="0"/>
          <w:numId w:val="11"/>
        </w:numPr>
        <w:tabs>
          <w:tab w:val="num" w:pos="0"/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</w:pPr>
      <w:r w:rsidRPr="001973A7">
        <w:t xml:space="preserve"> </w:t>
      </w:r>
      <w:r w:rsidR="0066025C" w:rsidRPr="001973A7">
        <w:t>В муниципальных контрактах, заключенных ДГХ в 2014-2016 годах</w:t>
      </w:r>
      <w:r w:rsidR="00904C63" w:rsidRPr="001973A7">
        <w:t xml:space="preserve"> в целях наружного освещения города,</w:t>
      </w:r>
      <w:r w:rsidR="0066025C" w:rsidRPr="001973A7">
        <w:t xml:space="preserve"> </w:t>
      </w:r>
      <w:r w:rsidR="00904C63" w:rsidRPr="001973A7">
        <w:t xml:space="preserve">в расчетах начальной (максимальной) цены использованы исходные данные </w:t>
      </w:r>
      <w:r w:rsidRPr="001973A7">
        <w:t xml:space="preserve">объектов уличного освещения </w:t>
      </w:r>
      <w:r w:rsidR="00904C63" w:rsidRPr="001973A7">
        <w:t>(наименование, количество, технические характеристики)</w:t>
      </w:r>
      <w:r w:rsidR="0066025C" w:rsidRPr="001973A7">
        <w:t xml:space="preserve"> не соответствующие</w:t>
      </w:r>
      <w:r w:rsidR="00904C63" w:rsidRPr="001973A7">
        <w:t xml:space="preserve"> </w:t>
      </w:r>
      <w:r w:rsidRPr="001973A7">
        <w:t xml:space="preserve">исходным данным </w:t>
      </w:r>
      <w:r w:rsidR="00904C63" w:rsidRPr="001973A7">
        <w:t>реестр</w:t>
      </w:r>
      <w:r w:rsidRPr="001973A7">
        <w:t>а</w:t>
      </w:r>
      <w:r w:rsidR="0066025C" w:rsidRPr="001973A7">
        <w:t xml:space="preserve"> муниципального имущества</w:t>
      </w:r>
      <w:r w:rsidR="00904C63" w:rsidRPr="001973A7">
        <w:t>, технически</w:t>
      </w:r>
      <w:r w:rsidRPr="001973A7">
        <w:t>х</w:t>
      </w:r>
      <w:r w:rsidR="00904C63" w:rsidRPr="001973A7">
        <w:t xml:space="preserve"> паспорт</w:t>
      </w:r>
      <w:r w:rsidRPr="001973A7">
        <w:t>ов</w:t>
      </w:r>
      <w:r w:rsidR="0066025C" w:rsidRPr="001973A7">
        <w:t xml:space="preserve"> и не взаимоувязаны между собой.</w:t>
      </w:r>
      <w:r w:rsidR="00904C63" w:rsidRPr="001973A7">
        <w:t xml:space="preserve"> В связи с этим, достоверно подтвердить обоснованность начальной (максимальной) цены контрактов, не представляется возможным.</w:t>
      </w:r>
    </w:p>
    <w:p w:rsidR="00904C63" w:rsidRPr="001973A7" w:rsidRDefault="00DA028D" w:rsidP="00D41458">
      <w:pPr>
        <w:pStyle w:val="ad"/>
        <w:numPr>
          <w:ilvl w:val="0"/>
          <w:numId w:val="11"/>
        </w:numPr>
        <w:tabs>
          <w:tab w:val="num" w:pos="0"/>
          <w:tab w:val="left" w:pos="284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</w:pPr>
      <w:r w:rsidRPr="001973A7">
        <w:t xml:space="preserve"> П</w:t>
      </w:r>
      <w:r w:rsidR="00904C63" w:rsidRPr="001973A7">
        <w:t xml:space="preserve">ри определении договорного объема электроэнергии по муниципальным контрактам «Энергоснабжения», </w:t>
      </w:r>
      <w:r w:rsidR="00640C3A" w:rsidRPr="001973A7">
        <w:t>ДГХ</w:t>
      </w:r>
      <w:r w:rsidR="00904C63" w:rsidRPr="001973A7">
        <w:t>,</w:t>
      </w:r>
      <w:r w:rsidR="00762AE6" w:rsidRPr="001973A7">
        <w:t xml:space="preserve"> в нарушение условий контрактов</w:t>
      </w:r>
      <w:r w:rsidR="00CE16D9" w:rsidRPr="001973A7">
        <w:t>, произвел расчет ночного режима</w:t>
      </w:r>
      <w:r w:rsidR="00904C63" w:rsidRPr="001973A7">
        <w:t>, без сокращения количества работающих светильников и планового расхода потребляемой ими электроэнергии</w:t>
      </w:r>
      <w:r w:rsidR="00762AE6" w:rsidRPr="001973A7">
        <w:t xml:space="preserve"> в ночное время</w:t>
      </w:r>
      <w:r w:rsidR="00904C63" w:rsidRPr="001973A7">
        <w:t>.</w:t>
      </w:r>
      <w:r w:rsidR="00762AE6" w:rsidRPr="001973A7">
        <w:t xml:space="preserve"> </w:t>
      </w:r>
      <w:proofErr w:type="gramStart"/>
      <w:r w:rsidR="00762AE6" w:rsidRPr="001973A7">
        <w:t>В результате завышения</w:t>
      </w:r>
      <w:r w:rsidR="00904C63" w:rsidRPr="001973A7">
        <w:t xml:space="preserve"> </w:t>
      </w:r>
      <w:r w:rsidR="00762AE6" w:rsidRPr="001973A7">
        <w:t>договорного</w:t>
      </w:r>
      <w:r w:rsidR="00904C63" w:rsidRPr="001973A7">
        <w:t xml:space="preserve"> объем</w:t>
      </w:r>
      <w:r w:rsidR="00762AE6" w:rsidRPr="001973A7">
        <w:t>а электроэнергии</w:t>
      </w:r>
      <w:r w:rsidR="00E34783" w:rsidRPr="001973A7">
        <w:t xml:space="preserve"> </w:t>
      </w:r>
      <w:r w:rsidR="00904C63" w:rsidRPr="001973A7">
        <w:t>в 2014 г</w:t>
      </w:r>
      <w:r w:rsidR="002A2C0F" w:rsidRPr="001973A7">
        <w:t>.</w:t>
      </w:r>
      <w:r w:rsidR="004C65FF" w:rsidRPr="001973A7">
        <w:t xml:space="preserve"> -</w:t>
      </w:r>
      <w:r w:rsidR="00904C63" w:rsidRPr="001973A7">
        <w:t xml:space="preserve"> по 102 объектам на 232 060,44 кВт</w:t>
      </w:r>
      <w:r w:rsidR="004C65FF" w:rsidRPr="001973A7">
        <w:t>.,</w:t>
      </w:r>
      <w:r w:rsidR="00904C63" w:rsidRPr="001973A7">
        <w:t xml:space="preserve"> в 2015 г</w:t>
      </w:r>
      <w:r w:rsidR="002A2C0F" w:rsidRPr="001973A7">
        <w:t>.</w:t>
      </w:r>
      <w:r w:rsidR="00904C63" w:rsidRPr="001973A7">
        <w:t xml:space="preserve"> </w:t>
      </w:r>
      <w:r w:rsidR="004C65FF" w:rsidRPr="001973A7">
        <w:t xml:space="preserve">- </w:t>
      </w:r>
      <w:r w:rsidR="00904C63" w:rsidRPr="001973A7">
        <w:t>по 105 объектам на 230 832,35 кВт</w:t>
      </w:r>
      <w:r w:rsidR="004C65FF" w:rsidRPr="001973A7">
        <w:t>.,</w:t>
      </w:r>
      <w:r w:rsidR="00904C63" w:rsidRPr="001973A7">
        <w:t xml:space="preserve"> в 2016 г</w:t>
      </w:r>
      <w:r w:rsidR="002A2C0F" w:rsidRPr="001973A7">
        <w:t>.</w:t>
      </w:r>
      <w:r w:rsidR="00904C63" w:rsidRPr="001973A7">
        <w:t xml:space="preserve"> </w:t>
      </w:r>
      <w:r w:rsidR="004C65FF" w:rsidRPr="001973A7">
        <w:t xml:space="preserve">- </w:t>
      </w:r>
      <w:r w:rsidR="00904C63" w:rsidRPr="001973A7">
        <w:t>по 112</w:t>
      </w:r>
      <w:r w:rsidR="00762AE6" w:rsidRPr="001973A7">
        <w:t xml:space="preserve"> объектам</w:t>
      </w:r>
      <w:r w:rsidR="00904C63" w:rsidRPr="001973A7">
        <w:t xml:space="preserve"> на 235 073.41</w:t>
      </w:r>
      <w:r w:rsidR="00762AE6" w:rsidRPr="001973A7">
        <w:t xml:space="preserve"> кВт.,</w:t>
      </w:r>
      <w:r w:rsidR="00904C63" w:rsidRPr="001973A7">
        <w:t xml:space="preserve"> начальная (м</w:t>
      </w:r>
      <w:r w:rsidR="002A2C0F" w:rsidRPr="001973A7">
        <w:t>аксимальная) цена муниципальных контрактов была</w:t>
      </w:r>
      <w:r w:rsidR="00904C63" w:rsidRPr="001973A7">
        <w:t xml:space="preserve"> завышена </w:t>
      </w:r>
      <w:r w:rsidR="002A2C0F" w:rsidRPr="001973A7">
        <w:t>в 2014 г. на 1 016 380,64</w:t>
      </w:r>
      <w:r w:rsidR="002A2C0F" w:rsidRPr="001973A7">
        <w:rPr>
          <w:b/>
        </w:rPr>
        <w:t xml:space="preserve"> </w:t>
      </w:r>
      <w:r w:rsidR="002A2C0F" w:rsidRPr="001973A7">
        <w:t xml:space="preserve">руб., в 2015 г. </w:t>
      </w:r>
      <w:r w:rsidR="00904C63" w:rsidRPr="001973A7">
        <w:t>на</w:t>
      </w:r>
      <w:r w:rsidR="002A2C0F" w:rsidRPr="001973A7">
        <w:t xml:space="preserve"> 1 104 897,52</w:t>
      </w:r>
      <w:r w:rsidR="002A2C0F" w:rsidRPr="001973A7">
        <w:rPr>
          <w:b/>
        </w:rPr>
        <w:t xml:space="preserve"> </w:t>
      </w:r>
      <w:r w:rsidR="002A2C0F" w:rsidRPr="001973A7">
        <w:t>руб., в</w:t>
      </w:r>
      <w:proofErr w:type="gramEnd"/>
      <w:r w:rsidR="002A2C0F" w:rsidRPr="001973A7">
        <w:t xml:space="preserve"> 2016 г. на</w:t>
      </w:r>
      <w:r w:rsidR="00904C63" w:rsidRPr="001973A7">
        <w:t xml:space="preserve"> 1 258 919,19</w:t>
      </w:r>
      <w:r w:rsidR="00904C63" w:rsidRPr="001973A7">
        <w:rPr>
          <w:b/>
        </w:rPr>
        <w:t xml:space="preserve"> </w:t>
      </w:r>
      <w:r w:rsidR="006730C2" w:rsidRPr="001973A7">
        <w:t>руб</w:t>
      </w:r>
      <w:r w:rsidR="002A2C0F" w:rsidRPr="001973A7">
        <w:t>. П</w:t>
      </w:r>
      <w:r w:rsidR="00904C63" w:rsidRPr="001973A7">
        <w:t xml:space="preserve">роизведенные Заказчиком расходы на энергоснабжение </w:t>
      </w:r>
      <w:r w:rsidR="004C65FF" w:rsidRPr="001973A7">
        <w:t xml:space="preserve">по таким </w:t>
      </w:r>
      <w:r w:rsidR="00904C63" w:rsidRPr="001973A7">
        <w:t>объект</w:t>
      </w:r>
      <w:r w:rsidR="004C65FF" w:rsidRPr="001973A7">
        <w:t>ам</w:t>
      </w:r>
      <w:r w:rsidR="00904C63" w:rsidRPr="001973A7">
        <w:t xml:space="preserve"> в сумме </w:t>
      </w:r>
      <w:r w:rsidR="00CE16D9" w:rsidRPr="001973A7">
        <w:t>3 380</w:t>
      </w:r>
      <w:r w:rsidR="00904C63" w:rsidRPr="001973A7">
        <w:t>,</w:t>
      </w:r>
      <w:r w:rsidR="00CE16D9" w:rsidRPr="001973A7">
        <w:t xml:space="preserve">2 тыс. </w:t>
      </w:r>
      <w:r w:rsidR="00904C63" w:rsidRPr="001973A7">
        <w:t xml:space="preserve"> руб. являются неэффективными.</w:t>
      </w:r>
    </w:p>
    <w:p w:rsidR="00F259FA" w:rsidRPr="001973A7" w:rsidRDefault="004C65FF" w:rsidP="001C484F">
      <w:pPr>
        <w:numPr>
          <w:ilvl w:val="0"/>
          <w:numId w:val="11"/>
        </w:numPr>
        <w:tabs>
          <w:tab w:val="num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3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F259FA" w:rsidRPr="001973A7">
        <w:rPr>
          <w:rFonts w:ascii="Times New Roman" w:hAnsi="Times New Roman" w:cs="Times New Roman"/>
          <w:color w:val="000000"/>
          <w:sz w:val="24"/>
          <w:szCs w:val="24"/>
        </w:rPr>
        <w:t>В нарушение</w:t>
      </w:r>
      <w:r w:rsidR="00F259FA" w:rsidRPr="001973A7">
        <w:rPr>
          <w:rFonts w:ascii="Times New Roman" w:hAnsi="Times New Roman" w:cs="Times New Roman"/>
          <w:sz w:val="24"/>
          <w:szCs w:val="24"/>
        </w:rPr>
        <w:t xml:space="preserve"> п.1 ст. 13 Федерального закона от 23.11.2009 N 261-ФЗ "Об энергосбережении и повышении энергетич</w:t>
      </w:r>
      <w:r w:rsidR="006730C2" w:rsidRPr="001973A7">
        <w:rPr>
          <w:rFonts w:ascii="Times New Roman" w:hAnsi="Times New Roman" w:cs="Times New Roman"/>
          <w:sz w:val="24"/>
          <w:szCs w:val="24"/>
        </w:rPr>
        <w:t>еской эффективности»</w:t>
      </w:r>
      <w:r w:rsidR="00F259FA" w:rsidRPr="001973A7">
        <w:rPr>
          <w:rFonts w:ascii="Times New Roman" w:hAnsi="Times New Roman" w:cs="Times New Roman"/>
          <w:sz w:val="24"/>
          <w:szCs w:val="24"/>
        </w:rPr>
        <w:t xml:space="preserve"> 66,7% объектов наружного освещения города не оборудованы приборами учета электроэнергии.</w:t>
      </w:r>
    </w:p>
    <w:p w:rsidR="00862653" w:rsidRPr="001973A7" w:rsidRDefault="004C65FF" w:rsidP="001C484F">
      <w:pPr>
        <w:pStyle w:val="ad"/>
        <w:numPr>
          <w:ilvl w:val="0"/>
          <w:numId w:val="11"/>
        </w:numPr>
        <w:tabs>
          <w:tab w:val="num" w:pos="0"/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1973A7">
        <w:t xml:space="preserve"> </w:t>
      </w:r>
      <w:r w:rsidR="00862653" w:rsidRPr="001973A7">
        <w:t>При исполнении муниципальных контрактов, заключенных ДГХ в целях организации наружного освещения в 2014-2016 годах допускались н</w:t>
      </w:r>
      <w:r w:rsidR="00354E01" w:rsidRPr="001973A7">
        <w:t>арушения договорных условий</w:t>
      </w:r>
      <w:r w:rsidR="00E34783" w:rsidRPr="001973A7">
        <w:t>, в том числе</w:t>
      </w:r>
      <w:r w:rsidR="00862653" w:rsidRPr="001973A7">
        <w:t>:</w:t>
      </w:r>
      <w:r w:rsidR="00862653" w:rsidRPr="001973A7">
        <w:rPr>
          <w:b/>
        </w:rPr>
        <w:t xml:space="preserve"> </w:t>
      </w:r>
    </w:p>
    <w:p w:rsidR="00F259FA" w:rsidRPr="001973A7" w:rsidRDefault="00656C0C" w:rsidP="001C484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3A7">
        <w:rPr>
          <w:rFonts w:ascii="Times New Roman" w:hAnsi="Times New Roman" w:cs="Times New Roman"/>
          <w:sz w:val="24"/>
          <w:szCs w:val="24"/>
        </w:rPr>
        <w:t xml:space="preserve">- в нарушение условий контракта, </w:t>
      </w:r>
      <w:r w:rsidR="00F259FA" w:rsidRPr="001973A7">
        <w:rPr>
          <w:rFonts w:ascii="Times New Roman" w:hAnsi="Times New Roman" w:cs="Times New Roman"/>
          <w:sz w:val="24"/>
          <w:szCs w:val="24"/>
        </w:rPr>
        <w:t>29 объекто</w:t>
      </w:r>
      <w:r w:rsidRPr="001973A7">
        <w:rPr>
          <w:rFonts w:ascii="Times New Roman" w:hAnsi="Times New Roman" w:cs="Times New Roman"/>
          <w:sz w:val="24"/>
          <w:szCs w:val="24"/>
        </w:rPr>
        <w:t>в наружного освещения или 21,5%</w:t>
      </w:r>
      <w:r w:rsidR="00F259FA" w:rsidRPr="001973A7">
        <w:rPr>
          <w:rFonts w:ascii="Times New Roman" w:hAnsi="Times New Roman" w:cs="Times New Roman"/>
          <w:sz w:val="24"/>
          <w:szCs w:val="24"/>
        </w:rPr>
        <w:t xml:space="preserve"> в 2014 году Исполнителем и </w:t>
      </w:r>
      <w:r w:rsidR="004C65FF" w:rsidRPr="001973A7">
        <w:rPr>
          <w:rFonts w:ascii="Times New Roman" w:hAnsi="Times New Roman" w:cs="Times New Roman"/>
          <w:sz w:val="24"/>
          <w:szCs w:val="24"/>
        </w:rPr>
        <w:t>ДГХ</w:t>
      </w:r>
      <w:r w:rsidR="00F259FA" w:rsidRPr="001973A7">
        <w:rPr>
          <w:rFonts w:ascii="Times New Roman" w:hAnsi="Times New Roman" w:cs="Times New Roman"/>
          <w:sz w:val="24"/>
          <w:szCs w:val="24"/>
        </w:rPr>
        <w:t xml:space="preserve"> вообще не осматривалось. Однако </w:t>
      </w:r>
      <w:r w:rsidR="004C65FF" w:rsidRPr="001973A7">
        <w:rPr>
          <w:rFonts w:ascii="Times New Roman" w:hAnsi="Times New Roman" w:cs="Times New Roman"/>
          <w:sz w:val="24"/>
          <w:szCs w:val="24"/>
        </w:rPr>
        <w:t>ДГХ</w:t>
      </w:r>
      <w:r w:rsidR="00F259FA" w:rsidRPr="001973A7">
        <w:rPr>
          <w:rFonts w:ascii="Times New Roman" w:hAnsi="Times New Roman" w:cs="Times New Roman"/>
          <w:sz w:val="24"/>
          <w:szCs w:val="24"/>
        </w:rPr>
        <w:t xml:space="preserve"> не имея заключений по всем объектам (данных об исправности и освещенности) оплатил услуги по их содержанию на сумму</w:t>
      </w:r>
      <w:r w:rsidR="00CE16D9" w:rsidRPr="00197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6D9" w:rsidRPr="001973A7">
        <w:rPr>
          <w:rFonts w:ascii="Times New Roman" w:hAnsi="Times New Roman" w:cs="Times New Roman"/>
          <w:sz w:val="24"/>
          <w:szCs w:val="24"/>
        </w:rPr>
        <w:t>2 514,2 тыс.</w:t>
      </w:r>
      <w:r w:rsidR="00F259FA" w:rsidRPr="001973A7">
        <w:rPr>
          <w:rFonts w:ascii="Times New Roman" w:hAnsi="Times New Roman" w:cs="Times New Roman"/>
          <w:sz w:val="24"/>
          <w:szCs w:val="24"/>
        </w:rPr>
        <w:t xml:space="preserve"> руб.</w:t>
      </w:r>
      <w:r w:rsidRPr="001973A7">
        <w:rPr>
          <w:rFonts w:ascii="Times New Roman" w:hAnsi="Times New Roman" w:cs="Times New Roman"/>
          <w:sz w:val="24"/>
          <w:szCs w:val="24"/>
        </w:rPr>
        <w:t>;</w:t>
      </w:r>
    </w:p>
    <w:p w:rsidR="00E65646" w:rsidRPr="001973A7" w:rsidRDefault="00656C0C" w:rsidP="001C4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3A7">
        <w:rPr>
          <w:rFonts w:ascii="Times New Roman" w:hAnsi="Times New Roman" w:cs="Times New Roman"/>
          <w:sz w:val="24"/>
          <w:szCs w:val="24"/>
        </w:rPr>
        <w:t>-</w:t>
      </w:r>
      <w:r w:rsidR="004C65FF" w:rsidRPr="001973A7">
        <w:rPr>
          <w:rFonts w:ascii="Times New Roman" w:hAnsi="Times New Roman" w:cs="Times New Roman"/>
          <w:sz w:val="24"/>
          <w:szCs w:val="24"/>
        </w:rPr>
        <w:t xml:space="preserve"> </w:t>
      </w:r>
      <w:r w:rsidRPr="001973A7">
        <w:rPr>
          <w:rFonts w:ascii="Times New Roman" w:hAnsi="Times New Roman" w:cs="Times New Roman"/>
          <w:sz w:val="24"/>
          <w:szCs w:val="24"/>
        </w:rPr>
        <w:t xml:space="preserve">в нарушение условий контракта на оказание услуг по организации наружного освещения г. Сарова, проверки качества оказанных услуг проведены не полностью. Из </w:t>
      </w:r>
      <w:r w:rsidR="004C65FF" w:rsidRPr="001973A7">
        <w:rPr>
          <w:rFonts w:ascii="Times New Roman" w:hAnsi="Times New Roman" w:cs="Times New Roman"/>
          <w:sz w:val="24"/>
          <w:szCs w:val="24"/>
        </w:rPr>
        <w:t xml:space="preserve">положенных </w:t>
      </w:r>
      <w:r w:rsidRPr="001973A7">
        <w:rPr>
          <w:rFonts w:ascii="Times New Roman" w:hAnsi="Times New Roman" w:cs="Times New Roman"/>
          <w:sz w:val="24"/>
          <w:szCs w:val="24"/>
        </w:rPr>
        <w:t xml:space="preserve">4 ежемесячных проверок, заключения предоставлены лишь по одной в месяц. </w:t>
      </w:r>
      <w:proofErr w:type="gramStart"/>
      <w:r w:rsidRPr="001973A7">
        <w:rPr>
          <w:rFonts w:ascii="Times New Roman" w:hAnsi="Times New Roman" w:cs="Times New Roman"/>
          <w:sz w:val="24"/>
          <w:szCs w:val="24"/>
        </w:rPr>
        <w:t xml:space="preserve">Количество осмотренных объектов в ходе проверок по 8 заключениям </w:t>
      </w:r>
      <w:r w:rsidR="00FF344B" w:rsidRPr="001973A7">
        <w:rPr>
          <w:rFonts w:ascii="Times New Roman" w:hAnsi="Times New Roman" w:cs="Times New Roman"/>
          <w:sz w:val="24"/>
          <w:szCs w:val="24"/>
        </w:rPr>
        <w:t>не соответствует установленной</w:t>
      </w:r>
      <w:r w:rsidR="00E65646" w:rsidRPr="001973A7">
        <w:rPr>
          <w:rFonts w:ascii="Times New Roman" w:hAnsi="Times New Roman" w:cs="Times New Roman"/>
          <w:sz w:val="24"/>
          <w:szCs w:val="24"/>
        </w:rPr>
        <w:t xml:space="preserve"> в контракте норме (</w:t>
      </w:r>
      <w:r w:rsidR="00FF344B" w:rsidRPr="001973A7">
        <w:rPr>
          <w:rFonts w:ascii="Times New Roman" w:hAnsi="Times New Roman" w:cs="Times New Roman"/>
          <w:sz w:val="24"/>
          <w:szCs w:val="24"/>
        </w:rPr>
        <w:t>не менее 15 объектов);</w:t>
      </w:r>
      <w:proofErr w:type="gramEnd"/>
    </w:p>
    <w:p w:rsidR="00E65646" w:rsidRPr="001973A7" w:rsidRDefault="00FF344B" w:rsidP="001C484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3A7">
        <w:rPr>
          <w:rFonts w:ascii="Times New Roman" w:hAnsi="Times New Roman" w:cs="Times New Roman"/>
          <w:sz w:val="24"/>
          <w:szCs w:val="24"/>
        </w:rPr>
        <w:t>-</w:t>
      </w:r>
      <w:r w:rsidR="00FB5645" w:rsidRPr="001973A7">
        <w:rPr>
          <w:rFonts w:ascii="Times New Roman" w:hAnsi="Times New Roman" w:cs="Times New Roman"/>
          <w:sz w:val="24"/>
          <w:szCs w:val="24"/>
        </w:rPr>
        <w:t xml:space="preserve"> в нарушение условий контракта, исполнитель не вы</w:t>
      </w:r>
      <w:r w:rsidR="00E65646" w:rsidRPr="001973A7">
        <w:rPr>
          <w:rFonts w:ascii="Times New Roman" w:hAnsi="Times New Roman" w:cs="Times New Roman"/>
          <w:sz w:val="24"/>
          <w:szCs w:val="24"/>
        </w:rPr>
        <w:t>полнял обязанность по ежемесячному снятию показаний электросчетчиков</w:t>
      </w:r>
      <w:r w:rsidR="00FB5645" w:rsidRPr="001973A7">
        <w:rPr>
          <w:rFonts w:ascii="Times New Roman" w:hAnsi="Times New Roman" w:cs="Times New Roman"/>
          <w:sz w:val="24"/>
          <w:szCs w:val="24"/>
        </w:rPr>
        <w:t xml:space="preserve"> по арендуемым объектам наружного освещения</w:t>
      </w:r>
      <w:r w:rsidR="00E65646" w:rsidRPr="001973A7">
        <w:rPr>
          <w:rFonts w:ascii="Times New Roman" w:hAnsi="Times New Roman" w:cs="Times New Roman"/>
          <w:sz w:val="24"/>
          <w:szCs w:val="24"/>
        </w:rPr>
        <w:t xml:space="preserve">. </w:t>
      </w:r>
      <w:r w:rsidR="00FB5645" w:rsidRPr="001973A7">
        <w:rPr>
          <w:rFonts w:ascii="Times New Roman" w:hAnsi="Times New Roman" w:cs="Times New Roman"/>
          <w:sz w:val="24"/>
          <w:szCs w:val="24"/>
        </w:rPr>
        <w:t>О</w:t>
      </w:r>
      <w:r w:rsidR="00E65646" w:rsidRPr="001973A7">
        <w:rPr>
          <w:rFonts w:ascii="Times New Roman" w:hAnsi="Times New Roman" w:cs="Times New Roman"/>
          <w:sz w:val="24"/>
          <w:szCs w:val="24"/>
        </w:rPr>
        <w:t>плата потребленной электроэнергии по данным объектам фактически осуществлялась без подтверждающих документов, по факту выставления счетов на оплату.</w:t>
      </w:r>
      <w:r w:rsidR="00E65646" w:rsidRPr="001973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065C" w:rsidRPr="001973A7" w:rsidRDefault="004C65FF" w:rsidP="001C484F">
      <w:pPr>
        <w:numPr>
          <w:ilvl w:val="0"/>
          <w:numId w:val="11"/>
        </w:numPr>
        <w:tabs>
          <w:tab w:val="num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73A7">
        <w:rPr>
          <w:rFonts w:ascii="Times New Roman" w:hAnsi="Times New Roman" w:cs="Times New Roman"/>
          <w:sz w:val="24"/>
          <w:szCs w:val="24"/>
        </w:rPr>
        <w:t xml:space="preserve"> </w:t>
      </w:r>
      <w:r w:rsidR="006C065C" w:rsidRPr="001973A7">
        <w:rPr>
          <w:rFonts w:ascii="Times New Roman" w:hAnsi="Times New Roman" w:cs="Times New Roman"/>
          <w:sz w:val="24"/>
          <w:szCs w:val="24"/>
        </w:rPr>
        <w:t>Заказчиком произведены неэффективные</w:t>
      </w:r>
      <w:r w:rsidR="006C065C" w:rsidRPr="001973A7">
        <w:rPr>
          <w:rFonts w:ascii="Times New Roman" w:hAnsi="Times New Roman" w:cs="Times New Roman"/>
          <w:bCs/>
          <w:sz w:val="24"/>
          <w:szCs w:val="24"/>
        </w:rPr>
        <w:t xml:space="preserve"> расходы на оплату наружного освещения больничного городка</w:t>
      </w:r>
      <w:r w:rsidR="00580890" w:rsidRPr="001973A7">
        <w:rPr>
          <w:rFonts w:ascii="Times New Roman" w:hAnsi="Times New Roman" w:cs="Times New Roman"/>
          <w:bCs/>
          <w:sz w:val="24"/>
          <w:szCs w:val="24"/>
        </w:rPr>
        <w:t xml:space="preserve"> по муниципальным контрактам «Энергоснабжения» в 2014-2016 </w:t>
      </w:r>
      <w:proofErr w:type="gramStart"/>
      <w:r w:rsidR="00580890" w:rsidRPr="001973A7">
        <w:rPr>
          <w:rFonts w:ascii="Times New Roman" w:hAnsi="Times New Roman" w:cs="Times New Roman"/>
          <w:bCs/>
          <w:sz w:val="24"/>
          <w:szCs w:val="24"/>
        </w:rPr>
        <w:t>г.г.</w:t>
      </w:r>
      <w:r w:rsidR="006C065C" w:rsidRPr="001973A7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proofErr w:type="gramEnd"/>
      <w:r w:rsidR="006C065C" w:rsidRPr="001973A7">
        <w:rPr>
          <w:rFonts w:ascii="Times New Roman" w:hAnsi="Times New Roman" w:cs="Times New Roman"/>
          <w:bCs/>
          <w:sz w:val="24"/>
          <w:szCs w:val="24"/>
        </w:rPr>
        <w:t xml:space="preserve"> сумму </w:t>
      </w:r>
      <w:r w:rsidR="00CE16D9" w:rsidRPr="001973A7">
        <w:rPr>
          <w:rFonts w:ascii="Times New Roman" w:hAnsi="Times New Roman" w:cs="Times New Roman"/>
          <w:bCs/>
          <w:sz w:val="24"/>
          <w:szCs w:val="24"/>
        </w:rPr>
        <w:t>1 587,7 тыс.</w:t>
      </w:r>
      <w:r w:rsidR="006C065C" w:rsidRPr="001973A7"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66025C" w:rsidRPr="001973A7" w:rsidRDefault="004C65FF" w:rsidP="001C484F">
      <w:pPr>
        <w:numPr>
          <w:ilvl w:val="0"/>
          <w:numId w:val="11"/>
        </w:numPr>
        <w:tabs>
          <w:tab w:val="num" w:pos="0"/>
          <w:tab w:val="left" w:pos="284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3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025C" w:rsidRPr="001973A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6025C" w:rsidRPr="001973A7">
        <w:rPr>
          <w:rFonts w:ascii="Times New Roman" w:hAnsi="Times New Roman" w:cs="Times New Roman"/>
          <w:sz w:val="24"/>
          <w:szCs w:val="24"/>
        </w:rPr>
        <w:t xml:space="preserve">о дворах </w:t>
      </w:r>
      <w:r w:rsidRPr="001973A7">
        <w:rPr>
          <w:rFonts w:ascii="Times New Roman" w:hAnsi="Times New Roman" w:cs="Times New Roman"/>
          <w:sz w:val="24"/>
          <w:szCs w:val="24"/>
        </w:rPr>
        <w:t xml:space="preserve">8 </w:t>
      </w:r>
      <w:r w:rsidR="0066025C" w:rsidRPr="001973A7">
        <w:rPr>
          <w:rFonts w:ascii="Times New Roman" w:hAnsi="Times New Roman" w:cs="Times New Roman"/>
          <w:sz w:val="24"/>
          <w:szCs w:val="24"/>
        </w:rPr>
        <w:t>многоквартирных жилых домов по ул</w:t>
      </w:r>
      <w:r w:rsidR="00B425D3" w:rsidRPr="001973A7">
        <w:rPr>
          <w:rFonts w:ascii="Times New Roman" w:hAnsi="Times New Roman" w:cs="Times New Roman"/>
          <w:sz w:val="24"/>
          <w:szCs w:val="24"/>
        </w:rPr>
        <w:t>.</w:t>
      </w:r>
      <w:r w:rsidR="0066025C" w:rsidRPr="001973A7">
        <w:rPr>
          <w:rFonts w:ascii="Times New Roman" w:hAnsi="Times New Roman" w:cs="Times New Roman"/>
          <w:sz w:val="24"/>
          <w:szCs w:val="24"/>
        </w:rPr>
        <w:t xml:space="preserve"> Силкина отсутствует внутриквартальное освещение, в том числе и освещение детских игровых площадок. А светильники, расположенные на фасадах </w:t>
      </w:r>
      <w:r w:rsidR="00B425D3" w:rsidRPr="001973A7">
        <w:rPr>
          <w:rFonts w:ascii="Times New Roman" w:hAnsi="Times New Roman" w:cs="Times New Roman"/>
          <w:sz w:val="24"/>
          <w:szCs w:val="24"/>
        </w:rPr>
        <w:t xml:space="preserve">5 </w:t>
      </w:r>
      <w:r w:rsidR="0066025C" w:rsidRPr="001973A7">
        <w:rPr>
          <w:rFonts w:ascii="Times New Roman" w:hAnsi="Times New Roman" w:cs="Times New Roman"/>
          <w:sz w:val="24"/>
          <w:szCs w:val="24"/>
        </w:rPr>
        <w:t xml:space="preserve">жилых домов, фактически выполняющие функции наружного освещения, в реестре муниципального имущества не числятся, не оснащены приборами учета электроэнергии, </w:t>
      </w:r>
      <w:proofErr w:type="gramStart"/>
      <w:r w:rsidR="0066025C" w:rsidRPr="001973A7">
        <w:rPr>
          <w:rFonts w:ascii="Times New Roman" w:hAnsi="Times New Roman" w:cs="Times New Roman"/>
          <w:sz w:val="24"/>
          <w:szCs w:val="24"/>
        </w:rPr>
        <w:t>находятся в аварийном состоянии и подключены</w:t>
      </w:r>
      <w:proofErr w:type="gramEnd"/>
      <w:r w:rsidR="0066025C" w:rsidRPr="001973A7">
        <w:rPr>
          <w:rFonts w:ascii="Times New Roman" w:hAnsi="Times New Roman" w:cs="Times New Roman"/>
          <w:sz w:val="24"/>
          <w:szCs w:val="24"/>
        </w:rPr>
        <w:t xml:space="preserve"> к общедомовой системе электроснабжения многоквартирных жилых домов.</w:t>
      </w:r>
    </w:p>
    <w:p w:rsidR="004E5780" w:rsidRPr="001973A7" w:rsidRDefault="004E5780" w:rsidP="001C4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3A7">
        <w:rPr>
          <w:rFonts w:ascii="Times New Roman" w:hAnsi="Times New Roman" w:cs="Times New Roman"/>
          <w:sz w:val="24"/>
          <w:szCs w:val="24"/>
        </w:rPr>
        <w:t>По итогам контрольного</w:t>
      </w:r>
      <w:r w:rsidR="00E305F9" w:rsidRPr="001973A7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Pr="001973A7">
        <w:rPr>
          <w:rFonts w:ascii="Times New Roman" w:hAnsi="Times New Roman" w:cs="Times New Roman"/>
          <w:sz w:val="24"/>
          <w:szCs w:val="24"/>
        </w:rPr>
        <w:t>направлены:</w:t>
      </w:r>
      <w:proofErr w:type="gramEnd"/>
    </w:p>
    <w:p w:rsidR="004E5780" w:rsidRPr="001973A7" w:rsidRDefault="004E5780" w:rsidP="001C484F">
      <w:pPr>
        <w:pStyle w:val="2"/>
        <w:numPr>
          <w:ilvl w:val="0"/>
          <w:numId w:val="6"/>
        </w:numPr>
        <w:tabs>
          <w:tab w:val="clear" w:pos="1128"/>
          <w:tab w:val="num" w:pos="142"/>
          <w:tab w:val="left" w:pos="567"/>
          <w:tab w:val="left" w:pos="851"/>
        </w:tabs>
        <w:spacing w:after="0" w:line="240" w:lineRule="auto"/>
        <w:ind w:left="284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973A7">
        <w:rPr>
          <w:rFonts w:ascii="Times New Roman" w:hAnsi="Times New Roman" w:cs="Times New Roman"/>
          <w:sz w:val="24"/>
          <w:szCs w:val="24"/>
        </w:rPr>
        <w:t xml:space="preserve">Главе города и в Городскую Думу </w:t>
      </w:r>
      <w:r w:rsidR="00B425D3" w:rsidRPr="001973A7">
        <w:rPr>
          <w:rFonts w:ascii="Times New Roman" w:hAnsi="Times New Roman" w:cs="Times New Roman"/>
          <w:sz w:val="24"/>
          <w:szCs w:val="24"/>
        </w:rPr>
        <w:t xml:space="preserve">- </w:t>
      </w:r>
      <w:r w:rsidR="001E33A4" w:rsidRPr="001973A7">
        <w:rPr>
          <w:rFonts w:ascii="Times New Roman" w:hAnsi="Times New Roman" w:cs="Times New Roman"/>
          <w:sz w:val="24"/>
          <w:szCs w:val="24"/>
        </w:rPr>
        <w:t>информация</w:t>
      </w:r>
      <w:r w:rsidRPr="001973A7">
        <w:rPr>
          <w:rFonts w:ascii="Times New Roman" w:hAnsi="Times New Roman" w:cs="Times New Roman"/>
          <w:sz w:val="24"/>
          <w:szCs w:val="24"/>
        </w:rPr>
        <w:t>;</w:t>
      </w:r>
    </w:p>
    <w:p w:rsidR="00CE16D9" w:rsidRPr="001973A7" w:rsidRDefault="001E33A4" w:rsidP="001C484F">
      <w:pPr>
        <w:pStyle w:val="2"/>
        <w:numPr>
          <w:ilvl w:val="0"/>
          <w:numId w:val="6"/>
        </w:numPr>
        <w:tabs>
          <w:tab w:val="clear" w:pos="1128"/>
          <w:tab w:val="left" w:pos="567"/>
          <w:tab w:val="left" w:pos="851"/>
        </w:tabs>
        <w:spacing w:after="0" w:line="240" w:lineRule="auto"/>
        <w:ind w:left="993" w:righ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73A7">
        <w:rPr>
          <w:rFonts w:ascii="Times New Roman" w:hAnsi="Times New Roman" w:cs="Times New Roman"/>
          <w:sz w:val="24"/>
          <w:szCs w:val="24"/>
        </w:rPr>
        <w:t>в</w:t>
      </w:r>
      <w:r w:rsidR="003F07FF" w:rsidRPr="001973A7">
        <w:rPr>
          <w:rFonts w:ascii="Times New Roman" w:hAnsi="Times New Roman" w:cs="Times New Roman"/>
          <w:sz w:val="24"/>
          <w:szCs w:val="24"/>
        </w:rPr>
        <w:t xml:space="preserve"> </w:t>
      </w:r>
      <w:r w:rsidR="00602EB3" w:rsidRPr="001973A7">
        <w:rPr>
          <w:rFonts w:ascii="Times New Roman" w:hAnsi="Times New Roman" w:cs="Times New Roman"/>
          <w:sz w:val="24"/>
          <w:szCs w:val="24"/>
        </w:rPr>
        <w:t xml:space="preserve">ДГХ </w:t>
      </w:r>
      <w:r w:rsidR="00B425D3" w:rsidRPr="001973A7">
        <w:rPr>
          <w:rFonts w:ascii="Times New Roman" w:hAnsi="Times New Roman" w:cs="Times New Roman"/>
          <w:sz w:val="24"/>
          <w:szCs w:val="24"/>
        </w:rPr>
        <w:t>-</w:t>
      </w:r>
      <w:r w:rsidR="00CE16D9" w:rsidRPr="001973A7">
        <w:rPr>
          <w:rFonts w:ascii="Times New Roman" w:hAnsi="Times New Roman" w:cs="Times New Roman"/>
          <w:sz w:val="24"/>
          <w:szCs w:val="24"/>
        </w:rPr>
        <w:t xml:space="preserve"> представление;</w:t>
      </w:r>
    </w:p>
    <w:p w:rsidR="004E5780" w:rsidRPr="001973A7" w:rsidRDefault="00B425D3" w:rsidP="001C484F">
      <w:pPr>
        <w:pStyle w:val="2"/>
        <w:numPr>
          <w:ilvl w:val="0"/>
          <w:numId w:val="6"/>
        </w:numPr>
        <w:tabs>
          <w:tab w:val="clear" w:pos="1128"/>
          <w:tab w:val="left" w:pos="567"/>
          <w:tab w:val="left" w:pos="851"/>
        </w:tabs>
        <w:spacing w:after="0" w:line="240" w:lineRule="auto"/>
        <w:ind w:left="993" w:righ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73A7">
        <w:rPr>
          <w:rFonts w:ascii="Times New Roman" w:hAnsi="Times New Roman" w:cs="Times New Roman"/>
          <w:sz w:val="24"/>
          <w:szCs w:val="24"/>
        </w:rPr>
        <w:t>в а</w:t>
      </w:r>
      <w:r w:rsidR="004E5780" w:rsidRPr="001973A7">
        <w:rPr>
          <w:rFonts w:ascii="Times New Roman" w:hAnsi="Times New Roman" w:cs="Times New Roman"/>
          <w:sz w:val="24"/>
          <w:szCs w:val="24"/>
        </w:rPr>
        <w:t>дминистрацию</w:t>
      </w:r>
      <w:r w:rsidR="001E33A4" w:rsidRPr="001973A7">
        <w:rPr>
          <w:rFonts w:ascii="Times New Roman" w:hAnsi="Times New Roman" w:cs="Times New Roman"/>
          <w:sz w:val="24"/>
          <w:szCs w:val="24"/>
        </w:rPr>
        <w:t xml:space="preserve"> г.Саров </w:t>
      </w:r>
      <w:r w:rsidRPr="001973A7">
        <w:rPr>
          <w:rFonts w:ascii="Times New Roman" w:hAnsi="Times New Roman" w:cs="Times New Roman"/>
          <w:sz w:val="24"/>
          <w:szCs w:val="24"/>
        </w:rPr>
        <w:t>-</w:t>
      </w:r>
      <w:r w:rsidR="001E33A4" w:rsidRPr="001973A7">
        <w:rPr>
          <w:rFonts w:ascii="Times New Roman" w:hAnsi="Times New Roman" w:cs="Times New Roman"/>
          <w:sz w:val="24"/>
          <w:szCs w:val="24"/>
        </w:rPr>
        <w:t xml:space="preserve"> информационное письмо;</w:t>
      </w:r>
    </w:p>
    <w:p w:rsidR="004E5780" w:rsidRPr="001973A7" w:rsidRDefault="001E33A4" w:rsidP="001C484F">
      <w:pPr>
        <w:pStyle w:val="2"/>
        <w:numPr>
          <w:ilvl w:val="0"/>
          <w:numId w:val="6"/>
        </w:numPr>
        <w:tabs>
          <w:tab w:val="clear" w:pos="1128"/>
          <w:tab w:val="left" w:pos="567"/>
          <w:tab w:val="num" w:pos="709"/>
          <w:tab w:val="left" w:pos="851"/>
        </w:tabs>
        <w:spacing w:after="0" w:line="240" w:lineRule="auto"/>
        <w:ind w:right="-284" w:hanging="561"/>
        <w:jc w:val="both"/>
        <w:rPr>
          <w:rFonts w:ascii="Times New Roman" w:hAnsi="Times New Roman" w:cs="Times New Roman"/>
          <w:sz w:val="24"/>
          <w:szCs w:val="24"/>
        </w:rPr>
      </w:pPr>
      <w:r w:rsidRPr="001973A7">
        <w:rPr>
          <w:rFonts w:ascii="Times New Roman" w:hAnsi="Times New Roman" w:cs="Times New Roman"/>
          <w:sz w:val="24"/>
          <w:szCs w:val="24"/>
        </w:rPr>
        <w:t>в</w:t>
      </w:r>
      <w:r w:rsidR="004E5780" w:rsidRPr="00197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5780" w:rsidRPr="001973A7">
        <w:rPr>
          <w:rFonts w:ascii="Times New Roman" w:hAnsi="Times New Roman" w:cs="Times New Roman"/>
          <w:sz w:val="24"/>
          <w:szCs w:val="24"/>
        </w:rPr>
        <w:t>Прокуратуру</w:t>
      </w:r>
      <w:proofErr w:type="gramEnd"/>
      <w:r w:rsidR="004E5780" w:rsidRPr="001973A7">
        <w:rPr>
          <w:rFonts w:ascii="Times New Roman" w:hAnsi="Times New Roman" w:cs="Times New Roman"/>
          <w:sz w:val="24"/>
          <w:szCs w:val="24"/>
        </w:rPr>
        <w:t xml:space="preserve"> ЗАТО г.Саров</w:t>
      </w:r>
      <w:r w:rsidR="00B425D3" w:rsidRPr="001973A7">
        <w:rPr>
          <w:rFonts w:ascii="Times New Roman" w:hAnsi="Times New Roman" w:cs="Times New Roman"/>
          <w:sz w:val="24"/>
          <w:szCs w:val="24"/>
        </w:rPr>
        <w:t xml:space="preserve"> -</w:t>
      </w:r>
      <w:r w:rsidR="004E5780" w:rsidRPr="001973A7">
        <w:rPr>
          <w:rFonts w:ascii="Times New Roman" w:hAnsi="Times New Roman" w:cs="Times New Roman"/>
          <w:sz w:val="24"/>
          <w:szCs w:val="24"/>
        </w:rPr>
        <w:t xml:space="preserve"> копия акта проверки.</w:t>
      </w:r>
    </w:p>
    <w:sectPr w:rsidR="004E5780" w:rsidRPr="001973A7" w:rsidSect="00566660">
      <w:pgSz w:w="11906" w:h="16838"/>
      <w:pgMar w:top="284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01D61A22"/>
    <w:multiLevelType w:val="hybridMultilevel"/>
    <w:tmpl w:val="E468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28517498"/>
    <w:multiLevelType w:val="hybridMultilevel"/>
    <w:tmpl w:val="418880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0F84D8D"/>
    <w:multiLevelType w:val="hybridMultilevel"/>
    <w:tmpl w:val="06B49F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ADEE76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1C76683"/>
    <w:multiLevelType w:val="hybridMultilevel"/>
    <w:tmpl w:val="15223E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95B073C"/>
    <w:multiLevelType w:val="hybridMultilevel"/>
    <w:tmpl w:val="C5608A3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055267"/>
    <w:multiLevelType w:val="multilevel"/>
    <w:tmpl w:val="73D4087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2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976539"/>
    <w:multiLevelType w:val="hybridMultilevel"/>
    <w:tmpl w:val="340040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4FCB57BA"/>
    <w:multiLevelType w:val="hybridMultilevel"/>
    <w:tmpl w:val="89D2A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8">
    <w:nsid w:val="57757ABF"/>
    <w:multiLevelType w:val="hybridMultilevel"/>
    <w:tmpl w:val="0E4CD2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20247A"/>
    <w:multiLevelType w:val="hybridMultilevel"/>
    <w:tmpl w:val="334AFD9C"/>
    <w:lvl w:ilvl="0" w:tplc="D860988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0B821AE"/>
    <w:multiLevelType w:val="hybridMultilevel"/>
    <w:tmpl w:val="B35ECC4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16B60CE"/>
    <w:multiLevelType w:val="hybridMultilevel"/>
    <w:tmpl w:val="20689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24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6"/>
  </w:num>
  <w:num w:numId="9">
    <w:abstractNumId w:val="25"/>
  </w:num>
  <w:num w:numId="10">
    <w:abstractNumId w:val="13"/>
  </w:num>
  <w:num w:numId="11">
    <w:abstractNumId w:val="10"/>
  </w:num>
  <w:num w:numId="12">
    <w:abstractNumId w:val="19"/>
  </w:num>
  <w:num w:numId="13">
    <w:abstractNumId w:val="22"/>
  </w:num>
  <w:num w:numId="14">
    <w:abstractNumId w:val="9"/>
  </w:num>
  <w:num w:numId="15">
    <w:abstractNumId w:val="5"/>
  </w:num>
  <w:num w:numId="16">
    <w:abstractNumId w:val="4"/>
  </w:num>
  <w:num w:numId="17">
    <w:abstractNumId w:val="1"/>
  </w:num>
  <w:num w:numId="18">
    <w:abstractNumId w:val="7"/>
  </w:num>
  <w:num w:numId="19">
    <w:abstractNumId w:val="16"/>
  </w:num>
  <w:num w:numId="20">
    <w:abstractNumId w:val="23"/>
  </w:num>
  <w:num w:numId="21">
    <w:abstractNumId w:val="21"/>
  </w:num>
  <w:num w:numId="22">
    <w:abstractNumId w:val="18"/>
  </w:num>
  <w:num w:numId="23">
    <w:abstractNumId w:val="11"/>
  </w:num>
  <w:num w:numId="24">
    <w:abstractNumId w:val="20"/>
  </w:num>
  <w:num w:numId="25">
    <w:abstractNumId w:val="3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10D2C"/>
    <w:rsid w:val="00010D99"/>
    <w:rsid w:val="000151D9"/>
    <w:rsid w:val="000156C4"/>
    <w:rsid w:val="00020913"/>
    <w:rsid w:val="00020B1D"/>
    <w:rsid w:val="00040069"/>
    <w:rsid w:val="000A2EAF"/>
    <w:rsid w:val="000A7ADD"/>
    <w:rsid w:val="000B3E9F"/>
    <w:rsid w:val="000C5D14"/>
    <w:rsid w:val="000D223F"/>
    <w:rsid w:val="000D7404"/>
    <w:rsid w:val="000E29A9"/>
    <w:rsid w:val="000F11E3"/>
    <w:rsid w:val="000F2FCF"/>
    <w:rsid w:val="001077AD"/>
    <w:rsid w:val="00107F8C"/>
    <w:rsid w:val="001147D8"/>
    <w:rsid w:val="00125AB2"/>
    <w:rsid w:val="001310F9"/>
    <w:rsid w:val="00134EF0"/>
    <w:rsid w:val="00167DA6"/>
    <w:rsid w:val="001856C8"/>
    <w:rsid w:val="001973A7"/>
    <w:rsid w:val="001C484F"/>
    <w:rsid w:val="001D64F8"/>
    <w:rsid w:val="001E33A4"/>
    <w:rsid w:val="001E7EC1"/>
    <w:rsid w:val="001F01E8"/>
    <w:rsid w:val="001F4E95"/>
    <w:rsid w:val="00203257"/>
    <w:rsid w:val="002123E0"/>
    <w:rsid w:val="00246E05"/>
    <w:rsid w:val="00281F62"/>
    <w:rsid w:val="002A2C0F"/>
    <w:rsid w:val="002B55E5"/>
    <w:rsid w:val="002C0A2B"/>
    <w:rsid w:val="002C0B2A"/>
    <w:rsid w:val="002C5D63"/>
    <w:rsid w:val="002D0688"/>
    <w:rsid w:val="00300367"/>
    <w:rsid w:val="00333F9B"/>
    <w:rsid w:val="00340562"/>
    <w:rsid w:val="00351413"/>
    <w:rsid w:val="00354E01"/>
    <w:rsid w:val="00380DE1"/>
    <w:rsid w:val="0039125D"/>
    <w:rsid w:val="003C4ECC"/>
    <w:rsid w:val="003C4F01"/>
    <w:rsid w:val="003C5817"/>
    <w:rsid w:val="003E06A8"/>
    <w:rsid w:val="003F07FF"/>
    <w:rsid w:val="00414646"/>
    <w:rsid w:val="00420978"/>
    <w:rsid w:val="004342ED"/>
    <w:rsid w:val="004359A4"/>
    <w:rsid w:val="00443CFE"/>
    <w:rsid w:val="00463A1F"/>
    <w:rsid w:val="00471AEE"/>
    <w:rsid w:val="0047404D"/>
    <w:rsid w:val="00476600"/>
    <w:rsid w:val="0048725E"/>
    <w:rsid w:val="004926AC"/>
    <w:rsid w:val="004A48EF"/>
    <w:rsid w:val="004B150C"/>
    <w:rsid w:val="004C65FF"/>
    <w:rsid w:val="004C71BB"/>
    <w:rsid w:val="004E0846"/>
    <w:rsid w:val="004E09BF"/>
    <w:rsid w:val="004E5780"/>
    <w:rsid w:val="004F7430"/>
    <w:rsid w:val="00501CA2"/>
    <w:rsid w:val="00502997"/>
    <w:rsid w:val="00510346"/>
    <w:rsid w:val="00515E85"/>
    <w:rsid w:val="00517286"/>
    <w:rsid w:val="00517537"/>
    <w:rsid w:val="00520B56"/>
    <w:rsid w:val="00525EDC"/>
    <w:rsid w:val="00534593"/>
    <w:rsid w:val="00566660"/>
    <w:rsid w:val="00580890"/>
    <w:rsid w:val="005834FF"/>
    <w:rsid w:val="00590CB9"/>
    <w:rsid w:val="00593898"/>
    <w:rsid w:val="005B2A4B"/>
    <w:rsid w:val="005C7BE1"/>
    <w:rsid w:val="005F1FBE"/>
    <w:rsid w:val="00602789"/>
    <w:rsid w:val="00602EB3"/>
    <w:rsid w:val="0062205A"/>
    <w:rsid w:val="006246F5"/>
    <w:rsid w:val="00635126"/>
    <w:rsid w:val="00640C3A"/>
    <w:rsid w:val="00644308"/>
    <w:rsid w:val="00647F8B"/>
    <w:rsid w:val="00653E79"/>
    <w:rsid w:val="0065540E"/>
    <w:rsid w:val="00656C0C"/>
    <w:rsid w:val="00657C31"/>
    <w:rsid w:val="0066025C"/>
    <w:rsid w:val="00662A41"/>
    <w:rsid w:val="00666B77"/>
    <w:rsid w:val="006730C2"/>
    <w:rsid w:val="0067320E"/>
    <w:rsid w:val="00687862"/>
    <w:rsid w:val="00690D7C"/>
    <w:rsid w:val="00692B71"/>
    <w:rsid w:val="006C065C"/>
    <w:rsid w:val="006D3BAF"/>
    <w:rsid w:val="006D6914"/>
    <w:rsid w:val="00703158"/>
    <w:rsid w:val="00703B29"/>
    <w:rsid w:val="00712857"/>
    <w:rsid w:val="007140E2"/>
    <w:rsid w:val="007528C8"/>
    <w:rsid w:val="00762AE6"/>
    <w:rsid w:val="00763D50"/>
    <w:rsid w:val="0076722D"/>
    <w:rsid w:val="007A187C"/>
    <w:rsid w:val="007B354E"/>
    <w:rsid w:val="007C3D75"/>
    <w:rsid w:val="007E162A"/>
    <w:rsid w:val="007F1D56"/>
    <w:rsid w:val="007F5DD3"/>
    <w:rsid w:val="0082775F"/>
    <w:rsid w:val="008526EC"/>
    <w:rsid w:val="00862653"/>
    <w:rsid w:val="008715B8"/>
    <w:rsid w:val="00876FD2"/>
    <w:rsid w:val="00883117"/>
    <w:rsid w:val="008A2395"/>
    <w:rsid w:val="008A33E8"/>
    <w:rsid w:val="008B08BA"/>
    <w:rsid w:val="008B1FA5"/>
    <w:rsid w:val="008C128B"/>
    <w:rsid w:val="008D00CA"/>
    <w:rsid w:val="008D0580"/>
    <w:rsid w:val="008E482D"/>
    <w:rsid w:val="008F4B30"/>
    <w:rsid w:val="008F52A0"/>
    <w:rsid w:val="008F698B"/>
    <w:rsid w:val="00904C63"/>
    <w:rsid w:val="00912013"/>
    <w:rsid w:val="0091333A"/>
    <w:rsid w:val="009133EE"/>
    <w:rsid w:val="00916EC0"/>
    <w:rsid w:val="009218F7"/>
    <w:rsid w:val="00927368"/>
    <w:rsid w:val="009525AE"/>
    <w:rsid w:val="009533BE"/>
    <w:rsid w:val="00975819"/>
    <w:rsid w:val="009868B6"/>
    <w:rsid w:val="009915A1"/>
    <w:rsid w:val="00996FBB"/>
    <w:rsid w:val="009A2AB4"/>
    <w:rsid w:val="009B06E2"/>
    <w:rsid w:val="009C76DB"/>
    <w:rsid w:val="009F6585"/>
    <w:rsid w:val="009F7581"/>
    <w:rsid w:val="00A058C7"/>
    <w:rsid w:val="00A21D77"/>
    <w:rsid w:val="00A24B22"/>
    <w:rsid w:val="00A3715D"/>
    <w:rsid w:val="00A41D95"/>
    <w:rsid w:val="00A43EFA"/>
    <w:rsid w:val="00A44795"/>
    <w:rsid w:val="00A46ED1"/>
    <w:rsid w:val="00A66701"/>
    <w:rsid w:val="00A67428"/>
    <w:rsid w:val="00AB06DD"/>
    <w:rsid w:val="00AD3D56"/>
    <w:rsid w:val="00AF0A89"/>
    <w:rsid w:val="00AF2EE6"/>
    <w:rsid w:val="00AF4080"/>
    <w:rsid w:val="00AF45E2"/>
    <w:rsid w:val="00B0676F"/>
    <w:rsid w:val="00B13158"/>
    <w:rsid w:val="00B14D93"/>
    <w:rsid w:val="00B253F5"/>
    <w:rsid w:val="00B425D3"/>
    <w:rsid w:val="00B4331E"/>
    <w:rsid w:val="00B52EE9"/>
    <w:rsid w:val="00B6593A"/>
    <w:rsid w:val="00B70C83"/>
    <w:rsid w:val="00B812FE"/>
    <w:rsid w:val="00BA4799"/>
    <w:rsid w:val="00BC2809"/>
    <w:rsid w:val="00BC6AB4"/>
    <w:rsid w:val="00BF76A8"/>
    <w:rsid w:val="00BF79E4"/>
    <w:rsid w:val="00C05B36"/>
    <w:rsid w:val="00C165E7"/>
    <w:rsid w:val="00C54569"/>
    <w:rsid w:val="00C70F6D"/>
    <w:rsid w:val="00C718E4"/>
    <w:rsid w:val="00C7212F"/>
    <w:rsid w:val="00CA0BAF"/>
    <w:rsid w:val="00CA2B2A"/>
    <w:rsid w:val="00CB108E"/>
    <w:rsid w:val="00CB21DC"/>
    <w:rsid w:val="00CD1B64"/>
    <w:rsid w:val="00CE03CC"/>
    <w:rsid w:val="00CE16D9"/>
    <w:rsid w:val="00D00930"/>
    <w:rsid w:val="00D02A4A"/>
    <w:rsid w:val="00D048CC"/>
    <w:rsid w:val="00D1344F"/>
    <w:rsid w:val="00D41458"/>
    <w:rsid w:val="00D4203E"/>
    <w:rsid w:val="00D573BD"/>
    <w:rsid w:val="00D57710"/>
    <w:rsid w:val="00D65313"/>
    <w:rsid w:val="00D66C50"/>
    <w:rsid w:val="00D70E82"/>
    <w:rsid w:val="00D743BB"/>
    <w:rsid w:val="00D81116"/>
    <w:rsid w:val="00D91874"/>
    <w:rsid w:val="00D9289B"/>
    <w:rsid w:val="00DA028D"/>
    <w:rsid w:val="00DC66D7"/>
    <w:rsid w:val="00DD2949"/>
    <w:rsid w:val="00DD35BC"/>
    <w:rsid w:val="00DD5EEB"/>
    <w:rsid w:val="00DD63D3"/>
    <w:rsid w:val="00DD7C22"/>
    <w:rsid w:val="00DF1C30"/>
    <w:rsid w:val="00E06B25"/>
    <w:rsid w:val="00E1240F"/>
    <w:rsid w:val="00E1565D"/>
    <w:rsid w:val="00E305F9"/>
    <w:rsid w:val="00E34783"/>
    <w:rsid w:val="00E4118A"/>
    <w:rsid w:val="00E44F3B"/>
    <w:rsid w:val="00E602F1"/>
    <w:rsid w:val="00E62CE8"/>
    <w:rsid w:val="00E6544D"/>
    <w:rsid w:val="00E65646"/>
    <w:rsid w:val="00E6619A"/>
    <w:rsid w:val="00E77B2E"/>
    <w:rsid w:val="00E81987"/>
    <w:rsid w:val="00E90456"/>
    <w:rsid w:val="00E933F4"/>
    <w:rsid w:val="00EB50AF"/>
    <w:rsid w:val="00EC5958"/>
    <w:rsid w:val="00EC697B"/>
    <w:rsid w:val="00ED65B5"/>
    <w:rsid w:val="00EE2AF0"/>
    <w:rsid w:val="00EE7520"/>
    <w:rsid w:val="00F2465C"/>
    <w:rsid w:val="00F259FA"/>
    <w:rsid w:val="00F26C13"/>
    <w:rsid w:val="00F43213"/>
    <w:rsid w:val="00F54AC1"/>
    <w:rsid w:val="00F5777E"/>
    <w:rsid w:val="00F67481"/>
    <w:rsid w:val="00F73A72"/>
    <w:rsid w:val="00F75AF7"/>
    <w:rsid w:val="00FA6295"/>
    <w:rsid w:val="00FB221A"/>
    <w:rsid w:val="00FB3F4F"/>
    <w:rsid w:val="00FB5645"/>
    <w:rsid w:val="00FD252D"/>
    <w:rsid w:val="00FD5BAF"/>
    <w:rsid w:val="00FD7BEA"/>
    <w:rsid w:val="00FF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03C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E03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E03CC"/>
    <w:rPr>
      <w:rFonts w:ascii="Times New Roman" w:hAnsi="Times New Roman" w:cs="Times New Roman"/>
    </w:rPr>
  </w:style>
  <w:style w:type="paragraph" w:styleId="a8">
    <w:name w:val="Body Text"/>
    <w:aliases w:val="Çàã1,BO,ID,body indent,andrad,EHPT,Body Text2,Основной текст Знак,Основной текст1,Основной текст Знак Знак,bt,body text,contents"/>
    <w:basedOn w:val="a"/>
    <w:link w:val="10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aliases w:val="Çàã1 Знак,BO Знак,ID Знак,body indent Знак,andrad Знак,EHPT Знак,Body Text2 Знак,Основной текст Знак Знак1,Основной текст1 Знак,Основной текст Знак Знак Знак,bt Знак,body text Знак,contents Знак"/>
    <w:basedOn w:val="a0"/>
    <w:link w:val="a8"/>
    <w:uiPriority w:val="99"/>
    <w:locked/>
    <w:rsid w:val="00CE03CC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CE03CC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onsPlusNormal">
    <w:name w:val="ConsPlusNormal"/>
    <w:rsid w:val="006D691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9C76DB"/>
    <w:pPr>
      <w:ind w:left="720"/>
    </w:pPr>
    <w:rPr>
      <w:rFonts w:eastAsia="Calibri"/>
      <w:lang w:eastAsia="en-US"/>
    </w:rPr>
  </w:style>
  <w:style w:type="paragraph" w:customStyle="1" w:styleId="ConsPlusNonformat">
    <w:name w:val="ConsPlusNonformat"/>
    <w:rsid w:val="009C7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Гипертекстовая ссылка"/>
    <w:basedOn w:val="a0"/>
    <w:uiPriority w:val="99"/>
    <w:rsid w:val="00C718E4"/>
    <w:rPr>
      <w:color w:val="106BBE"/>
    </w:rPr>
  </w:style>
  <w:style w:type="paragraph" w:customStyle="1" w:styleId="ConsNormal">
    <w:name w:val="ConsNormal"/>
    <w:rsid w:val="00C718E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d">
    <w:name w:val="Normal (Web)"/>
    <w:basedOn w:val="a"/>
    <w:locked/>
    <w:rsid w:val="00F259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Письмо"/>
    <w:basedOn w:val="a"/>
    <w:rsid w:val="006C065C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3030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Мартынов С.Н.</cp:lastModifiedBy>
  <cp:revision>122</cp:revision>
  <cp:lastPrinted>2017-10-09T06:40:00Z</cp:lastPrinted>
  <dcterms:created xsi:type="dcterms:W3CDTF">2014-04-09T12:25:00Z</dcterms:created>
  <dcterms:modified xsi:type="dcterms:W3CDTF">2017-10-17T13:39:00Z</dcterms:modified>
</cp:coreProperties>
</file>