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FC0" w:rsidRDefault="00745FC0">
      <w:pPr>
        <w:jc w:val="right"/>
        <w:rPr>
          <w:rFonts w:ascii="Times New Roman" w:hAnsi="Times New Roman" w:cs="Times New Roman"/>
        </w:rPr>
      </w:pPr>
    </w:p>
    <w:p w:rsidR="00745FC0" w:rsidRDefault="00745FC0">
      <w:pPr>
        <w:pStyle w:val="Heading4"/>
        <w:rPr>
          <w:rFonts w:ascii="Times New Roman" w:hAnsi="Times New Roman" w:cs="Times New Roman"/>
          <w:sz w:val="26"/>
          <w:szCs w:val="26"/>
        </w:rPr>
      </w:pPr>
    </w:p>
    <w:p w:rsidR="00745FC0" w:rsidRDefault="00745FC0">
      <w:pPr>
        <w:pStyle w:val="Heading4"/>
        <w:rPr>
          <w:rFonts w:ascii="Times New Roman" w:hAnsi="Times New Roman" w:cs="Times New Roman"/>
          <w:sz w:val="26"/>
          <w:szCs w:val="26"/>
        </w:rPr>
      </w:pPr>
      <w:r>
        <w:rPr>
          <w:rFonts w:ascii="Times New Roman" w:hAnsi="Times New Roman" w:cs="Times New Roman"/>
          <w:sz w:val="26"/>
          <w:szCs w:val="26"/>
        </w:rPr>
        <w:t xml:space="preserve">ИНФОРМАЦИЯ </w:t>
      </w:r>
    </w:p>
    <w:p w:rsidR="00745FC0" w:rsidRDefault="00745FC0">
      <w:pPr>
        <w:pStyle w:val="Heading4"/>
        <w:tabs>
          <w:tab w:val="clear" w:pos="3675"/>
          <w:tab w:val="left" w:pos="1695"/>
        </w:tabs>
        <w:rPr>
          <w:rFonts w:ascii="Times New Roman" w:hAnsi="Times New Roman" w:cs="Times New Roman"/>
          <w:sz w:val="26"/>
          <w:szCs w:val="26"/>
        </w:rPr>
      </w:pPr>
      <w:r>
        <w:rPr>
          <w:rFonts w:ascii="Times New Roman" w:hAnsi="Times New Roman" w:cs="Times New Roman"/>
          <w:sz w:val="26"/>
          <w:szCs w:val="26"/>
        </w:rPr>
        <w:t>ОБ ОСНОВНЫХ ИТОГАХ КОНТРОЛЬНОГО МЕРОПРИЯТИЯ</w:t>
      </w:r>
    </w:p>
    <w:p w:rsidR="00745FC0" w:rsidRDefault="00745FC0">
      <w:pPr>
        <w:tabs>
          <w:tab w:val="left" w:pos="1695"/>
        </w:tabs>
        <w:jc w:val="center"/>
        <w:rPr>
          <w:rFonts w:ascii="Times New Roman" w:hAnsi="Times New Roman" w:cs="Times New Roman"/>
          <w:b/>
          <w:bCs/>
          <w:sz w:val="26"/>
          <w:szCs w:val="26"/>
        </w:rPr>
      </w:pPr>
    </w:p>
    <w:p w:rsidR="00745FC0" w:rsidRDefault="00745FC0">
      <w:pPr>
        <w:pStyle w:val="Heading3"/>
        <w:spacing w:before="0" w:line="240" w:lineRule="auto"/>
        <w:jc w:val="both"/>
        <w:rPr>
          <w:rFonts w:ascii="Times New Roman" w:hAnsi="Times New Roman" w:cs="Times New Roman"/>
          <w:b w:val="0"/>
          <w:bCs w:val="0"/>
          <w:color w:val="000000"/>
          <w:sz w:val="26"/>
          <w:szCs w:val="26"/>
        </w:rPr>
      </w:pPr>
      <w:r>
        <w:rPr>
          <w:rFonts w:ascii="Times New Roman" w:hAnsi="Times New Roman" w:cs="Times New Roman"/>
          <w:b w:val="0"/>
          <w:bCs w:val="0"/>
          <w:sz w:val="26"/>
          <w:szCs w:val="26"/>
        </w:rPr>
        <w:tab/>
        <w:t>Контрольно-счетная палата города Сарова (далее – КСП) в соответствии с пунктом 1 Плана работы КСП на 2014 год провела контрольное мероприятие «Проверка целевого и эффективного использования</w:t>
      </w:r>
      <w:r>
        <w:rPr>
          <w:rFonts w:ascii="Times New Roman" w:hAnsi="Times New Roman" w:cs="Times New Roman"/>
          <w:b w:val="0"/>
          <w:bCs w:val="0"/>
          <w:color w:val="000000"/>
          <w:sz w:val="26"/>
          <w:szCs w:val="26"/>
        </w:rPr>
        <w:t xml:space="preserve"> средств бюджета города, выделенных в 2013 году по разделу 05 03 «Благоустройство», целевой статье 600 03 00 «Озеленение».</w:t>
      </w:r>
    </w:p>
    <w:p w:rsidR="00745FC0" w:rsidRDefault="00745FC0">
      <w:pPr>
        <w:spacing w:after="0" w:line="240" w:lineRule="auto"/>
        <w:ind w:firstLine="720"/>
        <w:jc w:val="both"/>
        <w:rPr>
          <w:rFonts w:ascii="Times New Roman" w:hAnsi="Times New Roman" w:cs="Times New Roman"/>
          <w:sz w:val="26"/>
          <w:szCs w:val="26"/>
          <w:vertAlign w:val="superscript"/>
        </w:rPr>
      </w:pPr>
      <w:r>
        <w:rPr>
          <w:rFonts w:ascii="Times New Roman" w:hAnsi="Times New Roman" w:cs="Times New Roman"/>
          <w:b/>
          <w:bCs/>
          <w:sz w:val="26"/>
          <w:szCs w:val="26"/>
        </w:rPr>
        <w:t>Объект</w:t>
      </w:r>
      <w:r>
        <w:rPr>
          <w:rFonts w:ascii="Times New Roman" w:hAnsi="Times New Roman" w:cs="Times New Roman"/>
          <w:sz w:val="26"/>
          <w:szCs w:val="26"/>
        </w:rPr>
        <w:t xml:space="preserve"> </w:t>
      </w:r>
      <w:r>
        <w:rPr>
          <w:rFonts w:ascii="Times New Roman" w:hAnsi="Times New Roman" w:cs="Times New Roman"/>
          <w:b/>
          <w:bCs/>
          <w:sz w:val="26"/>
          <w:szCs w:val="26"/>
        </w:rPr>
        <w:t xml:space="preserve">проверки: </w:t>
      </w:r>
      <w:r>
        <w:rPr>
          <w:rFonts w:ascii="Times New Roman" w:hAnsi="Times New Roman" w:cs="Times New Roman"/>
          <w:sz w:val="26"/>
          <w:szCs w:val="26"/>
        </w:rPr>
        <w:t>Департамент городского хозяйства Администрации        г. Саров (далее – ДГХ).</w:t>
      </w:r>
    </w:p>
    <w:p w:rsidR="00745FC0" w:rsidRDefault="00745FC0">
      <w:pPr>
        <w:spacing w:after="0" w:line="240" w:lineRule="auto"/>
        <w:ind w:firstLine="720"/>
        <w:jc w:val="both"/>
        <w:rPr>
          <w:rFonts w:ascii="Times New Roman" w:hAnsi="Times New Roman" w:cs="Times New Roman"/>
          <w:sz w:val="26"/>
          <w:szCs w:val="26"/>
        </w:rPr>
      </w:pPr>
      <w:r>
        <w:rPr>
          <w:rFonts w:ascii="Times New Roman" w:hAnsi="Times New Roman" w:cs="Times New Roman"/>
          <w:b/>
          <w:bCs/>
          <w:sz w:val="26"/>
          <w:szCs w:val="26"/>
        </w:rPr>
        <w:t>Проверенный период:</w:t>
      </w:r>
      <w:r>
        <w:rPr>
          <w:rFonts w:ascii="Times New Roman" w:hAnsi="Times New Roman" w:cs="Times New Roman"/>
          <w:sz w:val="26"/>
          <w:szCs w:val="26"/>
        </w:rPr>
        <w:t xml:space="preserve"> 2013 год.</w:t>
      </w:r>
    </w:p>
    <w:p w:rsidR="00745FC0" w:rsidRDefault="00745FC0">
      <w:pPr>
        <w:pStyle w:val="BodyTextIndent2"/>
        <w:spacing w:after="0" w:line="240" w:lineRule="auto"/>
        <w:ind w:left="0" w:firstLine="720"/>
        <w:jc w:val="both"/>
        <w:rPr>
          <w:rFonts w:ascii="Times New Roman" w:hAnsi="Times New Roman" w:cs="Times New Roman"/>
          <w:b/>
          <w:bCs/>
          <w:sz w:val="26"/>
          <w:szCs w:val="26"/>
        </w:rPr>
      </w:pPr>
      <w:r>
        <w:rPr>
          <w:rFonts w:ascii="Times New Roman" w:hAnsi="Times New Roman" w:cs="Times New Roman"/>
          <w:b/>
          <w:bCs/>
          <w:sz w:val="26"/>
          <w:szCs w:val="26"/>
        </w:rPr>
        <w:t>Объем проверенных средств:</w:t>
      </w:r>
      <w:r>
        <w:rPr>
          <w:rFonts w:ascii="Times New Roman" w:hAnsi="Times New Roman" w:cs="Times New Roman"/>
        </w:rPr>
        <w:t xml:space="preserve"> </w:t>
      </w:r>
      <w:r>
        <w:rPr>
          <w:rFonts w:ascii="Times New Roman" w:hAnsi="Times New Roman" w:cs="Times New Roman"/>
          <w:sz w:val="26"/>
          <w:szCs w:val="26"/>
        </w:rPr>
        <w:t>16 019,1 тыс. рублей</w:t>
      </w:r>
      <w:r>
        <w:rPr>
          <w:rFonts w:ascii="Times New Roman" w:hAnsi="Times New Roman" w:cs="Times New Roman"/>
          <w:b/>
          <w:bCs/>
          <w:sz w:val="26"/>
          <w:szCs w:val="26"/>
        </w:rPr>
        <w:t>.</w:t>
      </w:r>
    </w:p>
    <w:p w:rsidR="00745FC0" w:rsidRDefault="00745FC0">
      <w:pPr>
        <w:spacing w:after="0" w:line="240" w:lineRule="auto"/>
        <w:ind w:firstLine="720"/>
        <w:jc w:val="both"/>
        <w:rPr>
          <w:rFonts w:ascii="Times New Roman" w:hAnsi="Times New Roman" w:cs="Times New Roman"/>
          <w:sz w:val="26"/>
          <w:szCs w:val="26"/>
        </w:rPr>
      </w:pPr>
      <w:r>
        <w:rPr>
          <w:rFonts w:ascii="Times New Roman" w:hAnsi="Times New Roman" w:cs="Times New Roman"/>
          <w:b/>
          <w:bCs/>
          <w:sz w:val="26"/>
          <w:szCs w:val="26"/>
        </w:rPr>
        <w:t>Установлено нарушений и недостатков</w:t>
      </w:r>
      <w:r>
        <w:rPr>
          <w:rFonts w:ascii="Times New Roman" w:hAnsi="Times New Roman" w:cs="Times New Roman"/>
          <w:sz w:val="26"/>
          <w:szCs w:val="26"/>
        </w:rPr>
        <w:t>: 297,8 тыс. рублей.</w:t>
      </w:r>
    </w:p>
    <w:p w:rsidR="00745FC0" w:rsidRDefault="00745FC0">
      <w:pPr>
        <w:spacing w:after="0" w:line="240" w:lineRule="auto"/>
        <w:ind w:firstLine="720"/>
        <w:jc w:val="both"/>
        <w:rPr>
          <w:rFonts w:ascii="Times New Roman" w:hAnsi="Times New Roman" w:cs="Times New Roman"/>
          <w:b/>
          <w:bCs/>
          <w:sz w:val="26"/>
          <w:szCs w:val="26"/>
        </w:rPr>
      </w:pPr>
    </w:p>
    <w:p w:rsidR="00745FC0" w:rsidRDefault="00745FC0">
      <w:pPr>
        <w:pStyle w:val="BodyTextIndent"/>
        <w:rPr>
          <w:rFonts w:ascii="Times New Roman" w:hAnsi="Times New Roman" w:cs="Times New Roman"/>
          <w:b/>
          <w:bCs/>
          <w:sz w:val="26"/>
          <w:szCs w:val="26"/>
        </w:rPr>
      </w:pPr>
      <w:r>
        <w:rPr>
          <w:rFonts w:ascii="Times New Roman" w:hAnsi="Times New Roman" w:cs="Times New Roman"/>
          <w:b/>
          <w:bCs/>
          <w:sz w:val="26"/>
          <w:szCs w:val="26"/>
        </w:rPr>
        <w:t xml:space="preserve">В результате контрольного мероприятия выявлено: </w:t>
      </w:r>
    </w:p>
    <w:p w:rsidR="00745FC0" w:rsidRDefault="00745FC0">
      <w:pPr>
        <w:pStyle w:val="BodyTextIndent"/>
        <w:rPr>
          <w:rFonts w:ascii="Times New Roman" w:hAnsi="Times New Roman" w:cs="Times New Roman"/>
          <w:sz w:val="26"/>
          <w:szCs w:val="26"/>
        </w:rPr>
      </w:pPr>
    </w:p>
    <w:p w:rsidR="00745FC0" w:rsidRDefault="00745FC0">
      <w:pPr>
        <w:pStyle w:val="BodyText2"/>
        <w:spacing w:line="240"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Исполнение бюджета по расходам на содержание объектов благоустройства и озеленения территории городского округа составило за 2013 год - 16 019,1 тысячи рублей или 90,1 процентов от доведенных лимитов. Исполнение бюджета не в полном объеме произошло по причине  несостоявшегося аукциона.</w:t>
      </w:r>
    </w:p>
    <w:p w:rsidR="00745FC0" w:rsidRDefault="00745FC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b/>
          <w:bCs/>
          <w:sz w:val="26"/>
          <w:szCs w:val="26"/>
        </w:rPr>
        <w:t>2.</w:t>
      </w:r>
      <w:r>
        <w:rPr>
          <w:rFonts w:ascii="Times New Roman" w:hAnsi="Times New Roman" w:cs="Times New Roman"/>
          <w:sz w:val="26"/>
          <w:szCs w:val="26"/>
        </w:rPr>
        <w:t xml:space="preserve"> </w:t>
      </w:r>
      <w:r>
        <w:rPr>
          <w:rFonts w:ascii="Times New Roman" w:hAnsi="Times New Roman" w:cs="Times New Roman"/>
          <w:sz w:val="26"/>
          <w:szCs w:val="26"/>
        </w:rPr>
        <w:tab/>
        <w:t>Во исполнение бюджета по вышеуказанной статье ДГХ заключил 10 контрактов:</w:t>
      </w:r>
    </w:p>
    <w:p w:rsidR="00745FC0" w:rsidRDefault="00745FC0">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- 5 контрактов на выполнение работ по санитарной вырубке деревьев на внутриквартальных, общегородских территориях и вдоль улиц и площадей города Сарова на общую сумму 2 713,6 тысяч рублей;</w:t>
      </w:r>
    </w:p>
    <w:p w:rsidR="00745FC0" w:rsidRDefault="00745FC0">
      <w:pPr>
        <w:pStyle w:val="BodyText2"/>
        <w:spacing w:line="240" w:lineRule="auto"/>
        <w:rPr>
          <w:rFonts w:ascii="Times New Roman" w:hAnsi="Times New Roman" w:cs="Times New Roman"/>
        </w:rPr>
      </w:pPr>
      <w:r>
        <w:rPr>
          <w:rFonts w:ascii="Times New Roman" w:hAnsi="Times New Roman" w:cs="Times New Roman"/>
        </w:rPr>
        <w:t>- 1 контракт на оказание услуг по содержанию зеленых насаждений вдоль улиц и площадей города Сарова на сумму  4 865,2 тысяч рублей;</w:t>
      </w:r>
    </w:p>
    <w:p w:rsidR="00745FC0" w:rsidRDefault="00745FC0">
      <w:pP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- 4 контракта на оказание услуг по содержанию объектов внешнего благоустройства, по устройству и содержанию цветников вдоль улиц и на газонах города Сарова, по акарицидной обработке на общую сумму 8 440,3 тысяч рублей.</w:t>
      </w:r>
    </w:p>
    <w:p w:rsidR="00745FC0" w:rsidRDefault="00745FC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Контракты заключены в пределах доведенных бюджетных ассигнований.</w:t>
      </w:r>
    </w:p>
    <w:p w:rsidR="00745FC0" w:rsidRDefault="00745FC0">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Действия </w:t>
      </w:r>
      <w:r>
        <w:rPr>
          <w:rFonts w:ascii="Times New Roman" w:hAnsi="Times New Roman" w:cs="Times New Roman"/>
          <w:sz w:val="26"/>
          <w:szCs w:val="26"/>
        </w:rPr>
        <w:t xml:space="preserve">ДГХ </w:t>
      </w:r>
      <w:r>
        <w:rPr>
          <w:rFonts w:ascii="Times New Roman" w:hAnsi="Times New Roman" w:cs="Times New Roman"/>
          <w:color w:val="000000"/>
          <w:sz w:val="26"/>
          <w:szCs w:val="26"/>
        </w:rPr>
        <w:t>по определению исполнителей в целях заключения с ними муниципальных контрактов осуществлялось в соответствии с Гражданским кодексом Российской Федерации, Федеральным законом от 21.07.2005 года № 94-ФЗ «О размещении заказов на поставки товаров, выполнении работ, оказании услуг для государственных и муниципальных нужд».</w:t>
      </w:r>
    </w:p>
    <w:p w:rsidR="00745FC0" w:rsidRDefault="00745FC0">
      <w:pPr>
        <w:spacing w:after="0" w:line="240" w:lineRule="auto"/>
        <w:ind w:firstLine="540"/>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Нецелевого использования денежных средств не установлено.</w:t>
      </w:r>
    </w:p>
    <w:p w:rsidR="00745FC0" w:rsidRDefault="00745FC0">
      <w:pPr>
        <w:pStyle w:val="BodyTextIndent"/>
        <w:ind w:right="0"/>
        <w:jc w:val="both"/>
        <w:rPr>
          <w:rFonts w:ascii="Times New Roman" w:hAnsi="Times New Roman" w:cs="Times New Roman"/>
          <w:sz w:val="26"/>
          <w:szCs w:val="26"/>
        </w:rPr>
      </w:pPr>
      <w:r>
        <w:rPr>
          <w:rFonts w:ascii="Times New Roman" w:hAnsi="Times New Roman" w:cs="Times New Roman"/>
          <w:b/>
          <w:bCs/>
          <w:sz w:val="26"/>
          <w:szCs w:val="26"/>
        </w:rPr>
        <w:t xml:space="preserve">3. </w:t>
      </w:r>
      <w:r>
        <w:rPr>
          <w:rFonts w:ascii="Times New Roman" w:hAnsi="Times New Roman" w:cs="Times New Roman"/>
          <w:sz w:val="26"/>
          <w:szCs w:val="26"/>
        </w:rPr>
        <w:t xml:space="preserve">В ходе исполнения муниципального контракта от 29.12.2012 года № 139953 по содержанию объектов внешнего благоустройства (далее – контракт) ДГХ в нарушение статьи 9 Федерального закона от 21.07.2005 N 94-ФЗ изменил условия контракта. </w:t>
      </w:r>
    </w:p>
    <w:p w:rsidR="00745FC0" w:rsidRDefault="00745FC0">
      <w:pPr>
        <w:pStyle w:val="BodyTextIndent"/>
        <w:ind w:right="0"/>
        <w:jc w:val="both"/>
        <w:rPr>
          <w:rFonts w:ascii="Times New Roman" w:hAnsi="Times New Roman" w:cs="Times New Roman"/>
          <w:sz w:val="26"/>
          <w:szCs w:val="26"/>
        </w:rPr>
      </w:pPr>
      <w:r>
        <w:rPr>
          <w:rFonts w:ascii="Times New Roman" w:hAnsi="Times New Roman" w:cs="Times New Roman"/>
          <w:sz w:val="26"/>
          <w:szCs w:val="26"/>
        </w:rPr>
        <w:t xml:space="preserve">Часть услуг, указанная в Техническом задании контракта, не выполнялась либо выполнялась не в полном объеме. По устной договоренности ДГХ с исполнителем контракта (без внесения изменений в контракт) в пределах цены контракта вместо невыполненных услуг на сумму 297,8 тысячи рублей был увеличен объем других, указанных в Техническом задании услуг, в  том числе было принято решение выполнить 3 новые услуги, не указанные в Техническом задании контракта. </w:t>
      </w:r>
    </w:p>
    <w:p w:rsidR="00745FC0" w:rsidRDefault="00745FC0">
      <w:pPr>
        <w:pStyle w:val="BodyTextIndent"/>
        <w:ind w:right="0"/>
        <w:jc w:val="both"/>
        <w:rPr>
          <w:rFonts w:ascii="Times New Roman" w:hAnsi="Times New Roman" w:cs="Times New Roman"/>
          <w:sz w:val="26"/>
          <w:szCs w:val="26"/>
        </w:rPr>
      </w:pPr>
      <w:r>
        <w:rPr>
          <w:rFonts w:ascii="Times New Roman" w:hAnsi="Times New Roman" w:cs="Times New Roman"/>
          <w:sz w:val="26"/>
          <w:szCs w:val="26"/>
        </w:rPr>
        <w:t>Бюджетные обязательства на 3 новые услуги на сумму 19,9 тысяч рублей не принимались, при этом услуги оплачены за счет цены контракта, что является также нарушением статьи 219 Бюджетного кодекса РФ. Первичные учетные документы, подтверждающие выполнение данных трех услуг и их принятие заказчиком отсутствуют. Утверждать достоверность исполнения данных услуг невозможно без проведения следственных мероприятий.</w:t>
      </w:r>
    </w:p>
    <w:p w:rsidR="00745FC0" w:rsidRDefault="00745FC0">
      <w:pPr>
        <w:pStyle w:val="FootnoteText"/>
        <w:ind w:firstLine="720"/>
        <w:jc w:val="both"/>
        <w:rPr>
          <w:rFonts w:ascii="Times New Roman" w:hAnsi="Times New Roman" w:cs="Times New Roman"/>
          <w:sz w:val="26"/>
          <w:szCs w:val="26"/>
        </w:rPr>
      </w:pPr>
    </w:p>
    <w:p w:rsidR="00745FC0" w:rsidRDefault="00745FC0">
      <w:pPr>
        <w:pStyle w:val="FootnoteText"/>
        <w:ind w:firstLine="720"/>
        <w:jc w:val="both"/>
        <w:rPr>
          <w:rFonts w:ascii="Times New Roman" w:hAnsi="Times New Roman" w:cs="Times New Roman"/>
          <w:sz w:val="26"/>
          <w:szCs w:val="26"/>
        </w:rPr>
      </w:pPr>
      <w:r>
        <w:rPr>
          <w:rFonts w:ascii="Times New Roman" w:hAnsi="Times New Roman" w:cs="Times New Roman"/>
          <w:sz w:val="26"/>
          <w:szCs w:val="26"/>
        </w:rPr>
        <w:t>Акт контрольного мероприятия подписан ДГХ с замечаниями.</w:t>
      </w:r>
    </w:p>
    <w:p w:rsidR="00745FC0" w:rsidRDefault="00745FC0">
      <w:pPr>
        <w:pStyle w:val="FootnoteText"/>
        <w:ind w:firstLine="720"/>
        <w:jc w:val="both"/>
        <w:rPr>
          <w:rFonts w:ascii="Times New Roman" w:hAnsi="Times New Roman" w:cs="Times New Roman"/>
          <w:sz w:val="26"/>
          <w:szCs w:val="26"/>
        </w:rPr>
      </w:pPr>
      <w:r>
        <w:rPr>
          <w:rFonts w:ascii="Times New Roman" w:hAnsi="Times New Roman" w:cs="Times New Roman"/>
          <w:sz w:val="26"/>
          <w:szCs w:val="26"/>
        </w:rPr>
        <w:t>Замечания Контрольно-счетной палатой не принимаются. Выводы акта являются доказанными и обоснованными, а представленные замечания несостоятельными.</w:t>
      </w:r>
    </w:p>
    <w:p w:rsidR="00745FC0" w:rsidRDefault="00745FC0">
      <w:pPr>
        <w:pStyle w:val="FootnoteText"/>
        <w:ind w:firstLine="720"/>
        <w:jc w:val="both"/>
        <w:rPr>
          <w:rFonts w:ascii="Times New Roman" w:hAnsi="Times New Roman" w:cs="Times New Roman"/>
          <w:sz w:val="26"/>
          <w:szCs w:val="26"/>
        </w:rPr>
      </w:pPr>
    </w:p>
    <w:p w:rsidR="00745FC0" w:rsidRDefault="00745FC0">
      <w:pPr>
        <w:pStyle w:val="BodyTextIndent2"/>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По итогам проведенного контрольного мероприятия в соответствии с ч.9 п.1 ст.8, п.1 ст.17, п.1 ст.19 Положения о КСП, а также в порядке информации направлены:</w:t>
      </w:r>
    </w:p>
    <w:p w:rsidR="00745FC0" w:rsidRDefault="00745FC0">
      <w:pPr>
        <w:pStyle w:val="BodyTextIndent2"/>
        <w:numPr>
          <w:ilvl w:val="0"/>
          <w:numId w:val="3"/>
        </w:numPr>
        <w:tabs>
          <w:tab w:val="num" w:pos="360"/>
        </w:tabs>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В ДГХ - представление для принятия мер по устранению выявленных нарушений и недостатков.</w:t>
      </w:r>
    </w:p>
    <w:p w:rsidR="00745FC0" w:rsidRDefault="00745FC0">
      <w:pPr>
        <w:pStyle w:val="BodyTextIndent2"/>
        <w:numPr>
          <w:ilvl w:val="0"/>
          <w:numId w:val="3"/>
        </w:numPr>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В Городскую Думу и Главе города Сарова – информация.</w:t>
      </w:r>
    </w:p>
    <w:p w:rsidR="00745FC0" w:rsidRDefault="00745FC0">
      <w:pPr>
        <w:pStyle w:val="BodyTextIndent2"/>
        <w:numPr>
          <w:ilvl w:val="0"/>
          <w:numId w:val="3"/>
        </w:numPr>
        <w:spacing w:after="0" w:line="240" w:lineRule="auto"/>
        <w:ind w:left="0" w:firstLine="720"/>
        <w:jc w:val="both"/>
        <w:rPr>
          <w:rFonts w:ascii="Times New Roman" w:hAnsi="Times New Roman" w:cs="Times New Roman"/>
          <w:sz w:val="26"/>
          <w:szCs w:val="26"/>
        </w:rPr>
      </w:pPr>
      <w:r>
        <w:rPr>
          <w:rFonts w:ascii="Times New Roman" w:hAnsi="Times New Roman" w:cs="Times New Roman"/>
          <w:sz w:val="26"/>
          <w:szCs w:val="26"/>
        </w:rPr>
        <w:t>В Прокуратуру ЗАТО г. Саров - копия акта проверки.</w:t>
      </w:r>
    </w:p>
    <w:p w:rsidR="00745FC0" w:rsidRDefault="00745FC0">
      <w:pPr>
        <w:pStyle w:val="FootnoteText"/>
        <w:ind w:firstLine="720"/>
        <w:jc w:val="both"/>
        <w:rPr>
          <w:rFonts w:ascii="Times New Roman" w:hAnsi="Times New Roman" w:cs="Times New Roman"/>
          <w:sz w:val="26"/>
          <w:szCs w:val="26"/>
        </w:rPr>
      </w:pPr>
    </w:p>
    <w:p w:rsidR="00745FC0" w:rsidRDefault="00745FC0">
      <w:pPr>
        <w:pStyle w:val="BodyTextIndent2"/>
        <w:spacing w:after="0" w:line="240" w:lineRule="auto"/>
        <w:jc w:val="center"/>
        <w:rPr>
          <w:rFonts w:ascii="Times New Roman" w:hAnsi="Times New Roman" w:cs="Times New Roman"/>
          <w:sz w:val="26"/>
          <w:szCs w:val="26"/>
        </w:rPr>
      </w:pPr>
    </w:p>
    <w:tbl>
      <w:tblPr>
        <w:tblW w:w="9161" w:type="dxa"/>
        <w:tblInd w:w="-83" w:type="dxa"/>
        <w:tblLayout w:type="fixed"/>
        <w:tblCellMar>
          <w:left w:w="85" w:type="dxa"/>
          <w:right w:w="85" w:type="dxa"/>
        </w:tblCellMar>
        <w:tblLook w:val="0000"/>
      </w:tblPr>
      <w:tblGrid>
        <w:gridCol w:w="4819"/>
        <w:gridCol w:w="4342"/>
      </w:tblGrid>
      <w:tr w:rsidR="00745FC0">
        <w:trPr>
          <w:cantSplit/>
        </w:trPr>
        <w:tc>
          <w:tcPr>
            <w:tcW w:w="4819" w:type="dxa"/>
            <w:tcBorders>
              <w:top w:val="nil"/>
              <w:left w:val="nil"/>
              <w:bottom w:val="nil"/>
              <w:right w:val="nil"/>
            </w:tcBorders>
            <w:vAlign w:val="bottom"/>
          </w:tcPr>
          <w:p w:rsidR="00745FC0" w:rsidRDefault="00745FC0">
            <w:pPr>
              <w:pStyle w:val="1"/>
              <w:jc w:val="both"/>
              <w:rPr>
                <w:rFonts w:ascii="Times New Roman" w:hAnsi="Times New Roman" w:cs="Times New Roman"/>
                <w:sz w:val="26"/>
                <w:szCs w:val="26"/>
              </w:rPr>
            </w:pPr>
            <w:r>
              <w:rPr>
                <w:rFonts w:ascii="Times New Roman" w:hAnsi="Times New Roman" w:cs="Times New Roman"/>
                <w:sz w:val="26"/>
                <w:szCs w:val="26"/>
              </w:rPr>
              <w:t>Аудитор КСП</w:t>
            </w:r>
          </w:p>
        </w:tc>
        <w:tc>
          <w:tcPr>
            <w:tcW w:w="4342" w:type="dxa"/>
            <w:tcBorders>
              <w:top w:val="nil"/>
              <w:left w:val="nil"/>
              <w:bottom w:val="nil"/>
              <w:right w:val="nil"/>
            </w:tcBorders>
            <w:vAlign w:val="bottom"/>
          </w:tcPr>
          <w:p w:rsidR="00745FC0" w:rsidRDefault="00745FC0">
            <w:pPr>
              <w:pStyle w:val="a"/>
              <w:rPr>
                <w:rFonts w:ascii="Times New Roman" w:hAnsi="Times New Roman" w:cs="Times New Roman"/>
                <w:sz w:val="26"/>
                <w:szCs w:val="26"/>
              </w:rPr>
            </w:pPr>
            <w:r>
              <w:rPr>
                <w:rFonts w:ascii="Times New Roman" w:hAnsi="Times New Roman" w:cs="Times New Roman"/>
                <w:sz w:val="26"/>
                <w:szCs w:val="26"/>
              </w:rPr>
              <w:t>Е.В.Крапивина</w:t>
            </w:r>
          </w:p>
        </w:tc>
      </w:tr>
    </w:tbl>
    <w:p w:rsidR="00745FC0" w:rsidRDefault="00745FC0">
      <w:pPr>
        <w:spacing w:after="0" w:line="240" w:lineRule="auto"/>
        <w:ind w:left="284" w:right="-284"/>
        <w:rPr>
          <w:sz w:val="26"/>
          <w:szCs w:val="26"/>
        </w:rPr>
      </w:pPr>
    </w:p>
    <w:p w:rsidR="00745FC0" w:rsidRDefault="00745FC0">
      <w:pPr>
        <w:spacing w:after="0" w:line="240" w:lineRule="auto"/>
        <w:ind w:left="284" w:right="-284"/>
        <w:rPr>
          <w:sz w:val="26"/>
          <w:szCs w:val="26"/>
        </w:rPr>
      </w:pPr>
    </w:p>
    <w:p w:rsidR="00745FC0" w:rsidRDefault="00745FC0">
      <w:pPr>
        <w:pStyle w:val="FootnoteText"/>
        <w:jc w:val="both"/>
        <w:rPr>
          <w:rFonts w:ascii="Times New Roman" w:hAnsi="Times New Roman" w:cs="Times New Roman"/>
          <w:sz w:val="26"/>
          <w:szCs w:val="26"/>
        </w:rPr>
      </w:pPr>
    </w:p>
    <w:p w:rsidR="00745FC0" w:rsidRDefault="00745FC0">
      <w:pPr>
        <w:spacing w:after="0" w:line="240" w:lineRule="auto"/>
        <w:ind w:right="-5" w:firstLine="720"/>
        <w:jc w:val="both"/>
        <w:rPr>
          <w:rFonts w:ascii="Times New Roman" w:hAnsi="Times New Roman" w:cs="Times New Roman"/>
          <w:sz w:val="26"/>
          <w:szCs w:val="26"/>
        </w:rPr>
      </w:pPr>
    </w:p>
    <w:p w:rsidR="00745FC0" w:rsidRDefault="00745FC0">
      <w:pPr>
        <w:spacing w:after="0" w:line="240" w:lineRule="auto"/>
        <w:ind w:left="284" w:right="-284"/>
        <w:rPr>
          <w:rFonts w:ascii="Times New Roman" w:hAnsi="Times New Roman" w:cs="Times New Roman"/>
          <w:sz w:val="26"/>
          <w:szCs w:val="26"/>
        </w:rPr>
      </w:pPr>
    </w:p>
    <w:p w:rsidR="00745FC0" w:rsidRDefault="00745FC0">
      <w:pPr>
        <w:spacing w:after="0" w:line="240" w:lineRule="auto"/>
        <w:ind w:left="284" w:right="-284"/>
        <w:rPr>
          <w:rFonts w:ascii="Times New Roman" w:hAnsi="Times New Roman" w:cs="Times New Roman"/>
          <w:sz w:val="26"/>
          <w:szCs w:val="26"/>
        </w:rPr>
      </w:pPr>
    </w:p>
    <w:p w:rsidR="00745FC0" w:rsidRDefault="00745FC0">
      <w:pPr>
        <w:spacing w:after="0" w:line="240" w:lineRule="auto"/>
        <w:rPr>
          <w:rFonts w:ascii="Times New Roman" w:hAnsi="Times New Roman" w:cs="Times New Roman"/>
          <w:sz w:val="26"/>
          <w:szCs w:val="26"/>
        </w:rPr>
      </w:pPr>
    </w:p>
    <w:sectPr w:rsidR="00745FC0" w:rsidSect="00745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C75FA"/>
    <w:multiLevelType w:val="hybridMultilevel"/>
    <w:tmpl w:val="799CDAA6"/>
    <w:lvl w:ilvl="0" w:tplc="47109B62">
      <w:start w:val="1"/>
      <w:numFmt w:val="decimal"/>
      <w:lvlText w:val="%1."/>
      <w:lvlJc w:val="left"/>
      <w:pPr>
        <w:tabs>
          <w:tab w:val="num" w:pos="1128"/>
        </w:tabs>
        <w:ind w:left="1128" w:hanging="360"/>
      </w:pPr>
      <w:rPr>
        <w:rFonts w:ascii="Times New Roman" w:hAnsi="Times New Roman" w:cs="Times New Roman" w:hint="default"/>
      </w:rPr>
    </w:lvl>
    <w:lvl w:ilvl="1" w:tplc="04190019">
      <w:start w:val="1"/>
      <w:numFmt w:val="lowerLetter"/>
      <w:lvlText w:val="%2."/>
      <w:lvlJc w:val="left"/>
      <w:pPr>
        <w:tabs>
          <w:tab w:val="num" w:pos="1848"/>
        </w:tabs>
        <w:ind w:left="1848" w:hanging="360"/>
      </w:pPr>
      <w:rPr>
        <w:rFonts w:ascii="Times New Roman" w:hAnsi="Times New Roman" w:cs="Times New Roman"/>
      </w:rPr>
    </w:lvl>
    <w:lvl w:ilvl="2" w:tplc="0419001B">
      <w:start w:val="1"/>
      <w:numFmt w:val="lowerRoman"/>
      <w:lvlText w:val="%3."/>
      <w:lvlJc w:val="right"/>
      <w:pPr>
        <w:tabs>
          <w:tab w:val="num" w:pos="2568"/>
        </w:tabs>
        <w:ind w:left="2568" w:hanging="180"/>
      </w:pPr>
      <w:rPr>
        <w:rFonts w:ascii="Times New Roman" w:hAnsi="Times New Roman" w:cs="Times New Roman"/>
      </w:rPr>
    </w:lvl>
    <w:lvl w:ilvl="3" w:tplc="0419000F">
      <w:start w:val="1"/>
      <w:numFmt w:val="decimal"/>
      <w:lvlText w:val="%4."/>
      <w:lvlJc w:val="left"/>
      <w:pPr>
        <w:tabs>
          <w:tab w:val="num" w:pos="3288"/>
        </w:tabs>
        <w:ind w:left="3288" w:hanging="360"/>
      </w:pPr>
      <w:rPr>
        <w:rFonts w:ascii="Times New Roman" w:hAnsi="Times New Roman" w:cs="Times New Roman"/>
      </w:rPr>
    </w:lvl>
    <w:lvl w:ilvl="4" w:tplc="04190019">
      <w:start w:val="1"/>
      <w:numFmt w:val="lowerLetter"/>
      <w:lvlText w:val="%5."/>
      <w:lvlJc w:val="left"/>
      <w:pPr>
        <w:tabs>
          <w:tab w:val="num" w:pos="4008"/>
        </w:tabs>
        <w:ind w:left="4008" w:hanging="360"/>
      </w:pPr>
      <w:rPr>
        <w:rFonts w:ascii="Times New Roman" w:hAnsi="Times New Roman" w:cs="Times New Roman"/>
      </w:rPr>
    </w:lvl>
    <w:lvl w:ilvl="5" w:tplc="0419001B">
      <w:start w:val="1"/>
      <w:numFmt w:val="lowerRoman"/>
      <w:lvlText w:val="%6."/>
      <w:lvlJc w:val="right"/>
      <w:pPr>
        <w:tabs>
          <w:tab w:val="num" w:pos="4728"/>
        </w:tabs>
        <w:ind w:left="4728" w:hanging="180"/>
      </w:pPr>
      <w:rPr>
        <w:rFonts w:ascii="Times New Roman" w:hAnsi="Times New Roman" w:cs="Times New Roman"/>
      </w:rPr>
    </w:lvl>
    <w:lvl w:ilvl="6" w:tplc="0419000F">
      <w:start w:val="1"/>
      <w:numFmt w:val="decimal"/>
      <w:lvlText w:val="%7."/>
      <w:lvlJc w:val="left"/>
      <w:pPr>
        <w:tabs>
          <w:tab w:val="num" w:pos="5448"/>
        </w:tabs>
        <w:ind w:left="5448" w:hanging="360"/>
      </w:pPr>
      <w:rPr>
        <w:rFonts w:ascii="Times New Roman" w:hAnsi="Times New Roman" w:cs="Times New Roman"/>
      </w:rPr>
    </w:lvl>
    <w:lvl w:ilvl="7" w:tplc="04190019">
      <w:start w:val="1"/>
      <w:numFmt w:val="lowerLetter"/>
      <w:lvlText w:val="%8."/>
      <w:lvlJc w:val="left"/>
      <w:pPr>
        <w:tabs>
          <w:tab w:val="num" w:pos="6168"/>
        </w:tabs>
        <w:ind w:left="6168" w:hanging="360"/>
      </w:pPr>
      <w:rPr>
        <w:rFonts w:ascii="Times New Roman" w:hAnsi="Times New Roman" w:cs="Times New Roman"/>
      </w:rPr>
    </w:lvl>
    <w:lvl w:ilvl="8" w:tplc="0419001B">
      <w:start w:val="1"/>
      <w:numFmt w:val="lowerRoman"/>
      <w:lvlText w:val="%9."/>
      <w:lvlJc w:val="right"/>
      <w:pPr>
        <w:tabs>
          <w:tab w:val="num" w:pos="6888"/>
        </w:tabs>
        <w:ind w:left="6888" w:hanging="180"/>
      </w:pPr>
      <w:rPr>
        <w:rFonts w:ascii="Times New Roman" w:hAnsi="Times New Roman" w:cs="Times New Roman"/>
      </w:rPr>
    </w:lvl>
  </w:abstractNum>
  <w:abstractNum w:abstractNumId="1">
    <w:nsid w:val="523C1FA8"/>
    <w:multiLevelType w:val="hybridMultilevel"/>
    <w:tmpl w:val="B658D714"/>
    <w:lvl w:ilvl="0" w:tplc="13A4E9D2">
      <w:start w:val="1"/>
      <w:numFmt w:val="decimal"/>
      <w:lvlText w:val="%1."/>
      <w:lvlJc w:val="left"/>
      <w:pPr>
        <w:tabs>
          <w:tab w:val="num" w:pos="1080"/>
        </w:tabs>
        <w:ind w:left="1080" w:hanging="360"/>
      </w:pPr>
      <w:rPr>
        <w:rFonts w:ascii="Times New Roman" w:hAnsi="Times New Roman" w:cs="Times New Roman" w:hint="default"/>
        <w:b/>
        <w:bCs/>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2">
    <w:nsid w:val="72FB61EA"/>
    <w:multiLevelType w:val="hybridMultilevel"/>
    <w:tmpl w:val="7346DFB8"/>
    <w:lvl w:ilvl="0" w:tplc="03E6E404">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FC0"/>
    <w:rsid w:val="00745F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3">
    <w:name w:val="heading 3"/>
    <w:basedOn w:val="Normal"/>
    <w:next w:val="Normal"/>
    <w:link w:val="Heading3Char"/>
    <w:uiPriority w:val="99"/>
    <w:qFormat/>
    <w:pPr>
      <w:keepNext/>
      <w:keepLines/>
      <w:spacing w:before="200" w:after="0"/>
      <w:outlineLvl w:val="2"/>
    </w:pPr>
    <w:rPr>
      <w:rFonts w:ascii="Cambria" w:hAnsi="Cambria" w:cs="Cambria"/>
      <w:b/>
      <w:bCs/>
    </w:rPr>
  </w:style>
  <w:style w:type="paragraph" w:styleId="Heading4">
    <w:name w:val="heading 4"/>
    <w:basedOn w:val="Normal"/>
    <w:next w:val="Normal"/>
    <w:link w:val="Heading4Char"/>
    <w:uiPriority w:val="99"/>
    <w:qFormat/>
    <w:pPr>
      <w:keepNext/>
      <w:tabs>
        <w:tab w:val="left" w:pos="3675"/>
      </w:tabs>
      <w:spacing w:after="0" w:line="240" w:lineRule="auto"/>
      <w:jc w:val="center"/>
      <w:outlineLvl w:val="3"/>
    </w:pPr>
    <w:rPr>
      <w:b/>
      <w:bCs/>
      <w:sz w:val="24"/>
      <w:szCs w:val="24"/>
    </w:rPr>
  </w:style>
  <w:style w:type="paragraph" w:styleId="Heading7">
    <w:name w:val="heading 7"/>
    <w:basedOn w:val="Normal"/>
    <w:next w:val="Normal"/>
    <w:link w:val="Heading7Char"/>
    <w:uiPriority w:val="99"/>
    <w:qFormat/>
    <w:pPr>
      <w:keepNext/>
      <w:spacing w:after="0" w:line="240" w:lineRule="auto"/>
      <w:ind w:left="426"/>
      <w:jc w:val="center"/>
      <w:outlineLvl w:val="6"/>
    </w:pPr>
    <w:rPr>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Pr>
      <w:rFonts w:ascii="Cambria" w:hAnsi="Cambria" w:cs="Cambria"/>
      <w:b/>
      <w:bCs/>
      <w:color w:val="auto"/>
    </w:rPr>
  </w:style>
  <w:style w:type="character" w:customStyle="1" w:styleId="Heading4Char">
    <w:name w:val="Heading 4 Char"/>
    <w:basedOn w:val="DefaultParagraphFont"/>
    <w:link w:val="Heading4"/>
    <w:uiPriority w:val="99"/>
    <w:rPr>
      <w:rFonts w:ascii="Times New Roman" w:hAnsi="Times New Roman" w:cs="Times New Roman"/>
      <w:b/>
      <w:bCs/>
      <w:sz w:val="24"/>
      <w:szCs w:val="24"/>
    </w:rPr>
  </w:style>
  <w:style w:type="character" w:customStyle="1" w:styleId="Heading7Char">
    <w:name w:val="Heading 7 Char"/>
    <w:basedOn w:val="DefaultParagraphFont"/>
    <w:link w:val="Heading7"/>
    <w:uiPriority w:val="99"/>
    <w:rPr>
      <w:rFonts w:ascii="Times New Roman" w:hAnsi="Times New Roman" w:cs="Times New Roman"/>
      <w:sz w:val="28"/>
      <w:szCs w:val="28"/>
    </w:rPr>
  </w:style>
  <w:style w:type="paragraph" w:customStyle="1" w:styleId="a">
    <w:name w:val="подпись"/>
    <w:basedOn w:val="Normal"/>
    <w:uiPriority w:val="99"/>
    <w:pPr>
      <w:overflowPunct w:val="0"/>
      <w:autoSpaceDE w:val="0"/>
      <w:autoSpaceDN w:val="0"/>
      <w:adjustRightInd w:val="0"/>
      <w:spacing w:after="0" w:line="240" w:lineRule="auto"/>
      <w:jc w:val="right"/>
      <w:textAlignment w:val="baseline"/>
    </w:pPr>
    <w:rPr>
      <w:sz w:val="28"/>
      <w:szCs w:val="28"/>
    </w:rPr>
  </w:style>
  <w:style w:type="paragraph" w:styleId="BodyTextIndent">
    <w:name w:val="Body Text Indent"/>
    <w:basedOn w:val="Normal"/>
    <w:link w:val="BodyTextIndentChar"/>
    <w:uiPriority w:val="99"/>
    <w:pPr>
      <w:spacing w:after="0" w:line="240" w:lineRule="auto"/>
      <w:ind w:right="-284" w:firstLine="720"/>
    </w:pPr>
    <w:rPr>
      <w:sz w:val="24"/>
      <w:szCs w:val="24"/>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rPr>
  </w:style>
  <w:style w:type="paragraph" w:customStyle="1" w:styleId="1">
    <w:name w:val="Должность1"/>
    <w:basedOn w:val="Normal"/>
    <w:uiPriority w:val="99"/>
    <w:pPr>
      <w:overflowPunct w:val="0"/>
      <w:autoSpaceDE w:val="0"/>
      <w:autoSpaceDN w:val="0"/>
      <w:adjustRightInd w:val="0"/>
      <w:spacing w:after="0" w:line="240" w:lineRule="auto"/>
      <w:textAlignment w:val="baseline"/>
    </w:pPr>
    <w:rPr>
      <w:sz w:val="28"/>
      <w:szCs w:val="28"/>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BodyTextIndent2">
    <w:name w:val="Body Text Indent 2"/>
    <w:aliases w:val="Знак"/>
    <w:basedOn w:val="Normal"/>
    <w:link w:val="BodyTextIndent2Char"/>
    <w:uiPriority w:val="99"/>
    <w:pPr>
      <w:spacing w:after="120" w:line="480" w:lineRule="auto"/>
      <w:ind w:left="283"/>
    </w:pPr>
  </w:style>
  <w:style w:type="character" w:customStyle="1" w:styleId="BodyTextIndent2Char">
    <w:name w:val="Body Text Indent 2 Char"/>
    <w:aliases w:val="Знак Char"/>
    <w:basedOn w:val="DefaultParagraphFont"/>
    <w:link w:val="BodyTextIndent2"/>
    <w:uiPriority w:val="99"/>
    <w:rPr>
      <w:rFonts w:ascii="Times New Roman" w:hAnsi="Times New Roman" w:cs="Times New Roman"/>
    </w:rPr>
  </w:style>
  <w:style w:type="paragraph" w:styleId="BodyText">
    <w:name w:val="Body Text"/>
    <w:aliases w:val="Çàã1,BO,ID,body indent,andrad,EHPT,Body Text2,Основной текст Знак,Основной текст1,Основной текст Знак Знак,bt,body text,contents"/>
    <w:basedOn w:val="Normal"/>
    <w:link w:val="BodyTextChar"/>
    <w:uiPriority w:val="99"/>
    <w:pPr>
      <w:tabs>
        <w:tab w:val="left" w:pos="1695"/>
      </w:tabs>
      <w:spacing w:after="0" w:line="240" w:lineRule="auto"/>
      <w:jc w:val="both"/>
    </w:pPr>
    <w:rPr>
      <w:sz w:val="24"/>
      <w:szCs w:val="24"/>
    </w:rPr>
  </w:style>
  <w:style w:type="character" w:customStyle="1" w:styleId="BodyTextChar">
    <w:name w:val="Body Text Char"/>
    <w:aliases w:val="Çàã1 Char,BO Char,ID Char,body indent Char,andrad Char,EHPT Char,Body Text2 Char,Основной текст Знак Char,Основной текст1 Char,Основной текст Знак Знак Char,bt Char,body text Char,contents Char"/>
    <w:basedOn w:val="DefaultParagraphFont"/>
    <w:link w:val="BodyText"/>
    <w:uiPriority w:val="99"/>
    <w:rPr>
      <w:rFonts w:ascii="Calibri" w:hAnsi="Calibri" w:cs="Calibri"/>
    </w:rPr>
  </w:style>
  <w:style w:type="paragraph" w:styleId="BodyText2">
    <w:name w:val="Body Text 2"/>
    <w:basedOn w:val="Normal"/>
    <w:link w:val="BodyText2Char"/>
    <w:uiPriority w:val="99"/>
    <w:pPr>
      <w:spacing w:after="0"/>
      <w:ind w:firstLine="720"/>
      <w:jc w:val="both"/>
    </w:pPr>
    <w:rPr>
      <w:sz w:val="26"/>
      <w:szCs w:val="26"/>
    </w:rPr>
  </w:style>
  <w:style w:type="character" w:customStyle="1" w:styleId="BodyText2Char">
    <w:name w:val="Body Text 2 Char"/>
    <w:basedOn w:val="DefaultParagraphFont"/>
    <w:link w:val="BodyText2"/>
    <w:uiPriority w:val="99"/>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2</Pages>
  <Words>537</Words>
  <Characters>3065</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Крапивина</dc:creator>
  <cp:keywords/>
  <dc:description/>
  <cp:lastModifiedBy>d-msn</cp:lastModifiedBy>
  <cp:revision>42</cp:revision>
  <dcterms:created xsi:type="dcterms:W3CDTF">2014-04-09T12:25:00Z</dcterms:created>
  <dcterms:modified xsi:type="dcterms:W3CDTF">2014-07-14T07:15:00Z</dcterms:modified>
</cp:coreProperties>
</file>